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Ergänzung zur Auftragsverarbeitungsvereinbarung (AVV) für Kunden in der Schweiz</w:t>
      </w:r>
    </w:p>
    <w:p>
      <w:pPr>
        <w:spacing w:after="60"/>
      </w:pPr>
      <w:r>
        <w:rPr>
          <w:color w:val="6B665C"/>
          <w:sz w:val="20"/>
          <w:szCs w:val="20"/>
        </w:rPr>
        <w:t xml:space="preserve">Anlage zum Software-Lizenzvertrag basebox KI-Plattform</w:t>
      </w:r>
    </w:p>
    <w:p>
      <w:pPr>
        <w:spacing w:after="60"/>
      </w:pPr>
      <w:r>
        <w:rPr>
          <w:color w:val="6B665C"/>
          <w:sz w:val="20"/>
          <w:szCs w:val="20"/>
        </w:rPr>
        <w:t xml:space="preserve">Version: 11.10.2026</w:t>
      </w:r>
    </w:p>
    <w:p>
      <w:pPr>
        <w:spacing w:after="280"/>
      </w:pPr>
      <w:r>
        <w:rPr>
          <w:b/>
          <w:bCs/>
          <w:color w:val="1D1E1C"/>
          <w:sz w:val="20"/>
          <w:szCs w:val="20"/>
        </w:rPr>
        <w:t xml:space="preserve">Gilt nur zusammen mit dem Lizenzvertrag und der AVV.</w:t>
      </w:r>
    </w:p>
    <w:p>
      <w:pPr>
        <w:spacing w:after="60"/>
      </w:pPr>
      <w:r>
        <w:rPr>
          <w:color w:val="6B665C"/>
          <w:sz w:val="20"/>
          <w:szCs w:val="20"/>
        </w:rPr>
        <w:t xml:space="preserve">zwischen dem Kunden gemäß Angebot – im Folgenden „Kunde“ oder „Verantwortlicher“ –</w:t>
      </w:r>
    </w:p>
    <w:p>
      <w:pPr>
        <w:spacing w:after="60"/>
      </w:pPr>
      <w:r>
        <w:rPr>
          <w:color w:val="6B665C"/>
          <w:sz w:val="20"/>
          <w:szCs w:val="20"/>
        </w:rPr>
        <w:t xml:space="preserve">und der basebox GmbH, Bahnhofplatz 3, 86919 Utting am Ammersee, Deutschland – im Folgenden „basebox“ oder „Auftragsbearbeiter“ –</w:t>
      </w:r>
    </w:p>
    <w:p>
      <w:pPr>
        <w:pStyle w:val="Heading1"/>
      </w:pPr>
      <w:r>
        <w:t xml:space="preserve">1. Geltung und Rangfolge</w:t>
      </w:r>
    </w:p>
    <w:p>
      <w:pPr>
        <w:spacing w:after="120" w:line="276"/>
      </w:pPr>
      <w:r>
        <w:t xml:space="preserve">(1) Diese Ergänzung gilt, wenn der Kunde seinen Sitz in der Schweiz hat oder die Bearbeitung von Personendaten im Auftrag des Kunden sonst dem Schweizer Bundesgesetz über den Datenschutz (DSG) unterliegt, und wenn sie im Angebot einbezogen ist.</w:t>
      </w:r>
    </w:p>
    <w:p>
      <w:pPr>
        <w:spacing w:after="120" w:line="276"/>
      </w:pPr>
      <w:r>
        <w:t xml:space="preserve">(2) Diese Ergänzung ist kein eigenständiger Vertrag. Sie ergänzt die Auftragsverarbeitungsvereinbarung (AVV) der basebox GmbH in der im Angebot genannten Fassung. Soweit diese Ergänzung nichts Abweichendes bestimmt, gilt die AVV unverändert.</w:t>
      </w:r>
    </w:p>
    <w:p>
      <w:pPr>
        <w:spacing w:after="120" w:line="276"/>
      </w:pPr>
      <w:r>
        <w:t xml:space="preserve">(3) Bei Widersprüchen zwischen AVV und dieser Ergänzung geht diese Ergänzung vor, soweit es um die Anwendung des DSG geht. Zwingende Vorschriften der DSGVO, denen basebox als Auftragsverarbeiter mit Sitz in Deutschland unterliegt, bleiben unberührt.</w:t>
      </w:r>
    </w:p>
    <w:p>
      <w:pPr>
        <w:pStyle w:val="Heading1"/>
      </w:pPr>
      <w:r>
        <w:t xml:space="preserve">2. Anwendbares Datenschutzrecht</w:t>
      </w:r>
    </w:p>
    <w:p>
      <w:pPr>
        <w:spacing w:after="120" w:line="276"/>
      </w:pPr>
      <w:r>
        <w:t xml:space="preserve">(1) basebox hat ihren Sitz in Deutschland und unterliegt als Auftragsverarbeiter der Datenschutz-Grundverordnung (DSGVO). Für den Kunden gilt das DSG, für basebox gilt es, soweit sich die Bearbeitung in der Schweiz auswirkt (Art. 3 Abs. 1 DSG). basebox hält bei der Bearbeitung im Auftrag des Kunden neben der DSGVO die Pflichten ein, die das DSG und die Datenschutzverordnung (DSV) einem Auftragsbearbeiter auferlegen.</w:t>
      </w:r>
    </w:p>
    <w:p>
      <w:pPr>
        <w:spacing w:after="120" w:line="276"/>
      </w:pPr>
      <w:r>
        <w:t xml:space="preserve">(2) Ist der Kunde eine kantonale oder kommunale Stelle (etwa ein öffentlich-rechtliches Spital oder eine Gemeindeverwaltung), gilt für ihn das Datenschutzgesetz seines Kantons (Art. 2 Abs. 1 DSG). Der Kunde teilt basebox mit, welches kantonale Recht gilt und welche besonderen Vorgaben es für die Auslagerung der Bearbeitung enthält. Die Verweise dieser Ergänzung auf das DSG gelten dann für die entsprechenden Vorschriften des kantonalen Rechts.</w:t>
      </w:r>
    </w:p>
    <w:p>
      <w:pPr>
        <w:spacing w:after="120" w:line="276"/>
      </w:pPr>
      <w:r>
        <w:t xml:space="preserve">(3) Verweist die AVV auf Vorschriften der DSGVO, gelten die entsprechenden Vorschriften des DSG und der DSV ergänzend, insbesondere: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626"/>
        <w:gridCol w:w="5012"/>
      </w:tblGrid>
      <w:tr>
        <w:trPr>
          <w:cantSplit/>
          <w:tblHeader/>
        </w:trPr>
        <w:tc>
          <w:tcPr>
            <w:tcW w:type="dxa" w:w="4626"/>
            <w:tcBorders>
              <w:top w:val="single" w:color="CFC9BD" w:sz="4"/>
              <w:left w:val="single" w:color="CFC9BD" w:sz="4"/>
              <w:bottom w:val="single" w:color="CFC9BD" w:sz="4"/>
              <w:right w:val="single" w:color="CFC9BD" w:sz="4"/>
            </w:tcBorders>
            <w:shd w:fill="F4F2EE" w:color="auto" w:val="clear"/>
            <w:tcMar>
              <w:top w:type="dxa" w:w="80"/>
              <w:left w:type="dxa" w:w="120"/>
              <w:bottom w:type="dxa" w:w="80"/>
              <w:right w:type="dxa" w:w="120"/>
            </w:tcMar>
          </w:tcPr>
          <w:p>
            <w:r>
              <w:rPr>
                <w:b/>
                <w:bCs/>
                <w:sz w:val="20"/>
                <w:szCs w:val="20"/>
              </w:rPr>
              <w:t xml:space="preserve">AVV / DSGVO</w:t>
            </w:r>
          </w:p>
        </w:tc>
        <w:tc>
          <w:tcPr>
            <w:tcW w:type="dxa" w:w="5012"/>
            <w:tcBorders>
              <w:top w:val="single" w:color="CFC9BD" w:sz="4"/>
              <w:left w:val="single" w:color="CFC9BD" w:sz="4"/>
              <w:bottom w:val="single" w:color="CFC9BD" w:sz="4"/>
              <w:right w:val="single" w:color="CFC9BD" w:sz="4"/>
            </w:tcBorders>
            <w:shd w:fill="F4F2EE" w:color="auto" w:val="clear"/>
            <w:tcMar>
              <w:top w:type="dxa" w:w="80"/>
              <w:left w:type="dxa" w:w="120"/>
              <w:bottom w:type="dxa" w:w="80"/>
              <w:right w:type="dxa" w:w="120"/>
            </w:tcMar>
          </w:tcPr>
          <w:p>
            <w:r>
              <w:rPr>
                <w:b/>
                <w:bCs/>
                <w:sz w:val="20"/>
                <w:szCs w:val="20"/>
              </w:rPr>
              <w:t xml:space="preserve">DSG / DSV</w:t>
            </w:r>
          </w:p>
        </w:tc>
      </w:tr>
      <w:tr>
        <w:trPr>
          <w:cantSplit/>
          <w:tblHeader w:val="false"/>
        </w:trPr>
        <w:tc>
          <w:tcPr>
            <w:tcW w:type="dxa" w:w="4626"/>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Art. 28, 29 DSGVO (Auftragsverarbeitung, Weisungen)</w:t>
            </w:r>
          </w:p>
        </w:tc>
        <w:tc>
          <w:tcPr>
            <w:tcW w:type="dxa" w:w="5012"/>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Art. 9 DSG, Art. 7 DSV</w:t>
            </w:r>
          </w:p>
        </w:tc>
      </w:tr>
      <w:tr>
        <w:trPr>
          <w:cantSplit/>
          <w:tblHeader w:val="false"/>
        </w:trPr>
        <w:tc>
          <w:tcPr>
            <w:tcW w:type="dxa" w:w="4626"/>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Art. 30 DSGVO (Verzeichnis)</w:t>
            </w:r>
          </w:p>
        </w:tc>
        <w:tc>
          <w:tcPr>
            <w:tcW w:type="dxa" w:w="5012"/>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Art. 12 DSG</w:t>
            </w:r>
          </w:p>
        </w:tc>
      </w:tr>
      <w:tr>
        <w:trPr>
          <w:cantSplit/>
          <w:tblHeader w:val="false"/>
        </w:trPr>
        <w:tc>
          <w:tcPr>
            <w:tcW w:type="dxa" w:w="4626"/>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Art. 32 DSGVO (Sicherheit)</w:t>
            </w:r>
          </w:p>
        </w:tc>
        <w:tc>
          <w:tcPr>
            <w:tcW w:type="dxa" w:w="5012"/>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Art. 8 DSG, Art. 1–6 DSV</w:t>
            </w:r>
          </w:p>
        </w:tc>
      </w:tr>
      <w:tr>
        <w:trPr>
          <w:cantSplit/>
          <w:tblHeader w:val="false"/>
        </w:trPr>
        <w:tc>
          <w:tcPr>
            <w:tcW w:type="dxa" w:w="4626"/>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Art. 33, 34 DSGVO (Meldung von Verletzungen)</w:t>
            </w:r>
          </w:p>
        </w:tc>
        <w:tc>
          <w:tcPr>
            <w:tcW w:type="dxa" w:w="5012"/>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Art. 24 DSG, Art. 15 DSV</w:t>
            </w:r>
          </w:p>
        </w:tc>
      </w:tr>
      <w:tr>
        <w:trPr>
          <w:cantSplit/>
          <w:tblHeader w:val="false"/>
        </w:trPr>
        <w:tc>
          <w:tcPr>
            <w:tcW w:type="dxa" w:w="4626"/>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Art. 35, 36 DSGVO (Folgenabschätzung, Konsultation)</w:t>
            </w:r>
          </w:p>
        </w:tc>
        <w:tc>
          <w:tcPr>
            <w:tcW w:type="dxa" w:w="5012"/>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Art. 22, 23 DSG</w:t>
            </w:r>
          </w:p>
        </w:tc>
      </w:tr>
      <w:tr>
        <w:trPr>
          <w:cantSplit/>
          <w:tblHeader w:val="false"/>
        </w:trPr>
        <w:tc>
          <w:tcPr>
            <w:tcW w:type="dxa" w:w="4626"/>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Art. 12–22 DSGVO (Betroffenenrechte)</w:t>
            </w:r>
          </w:p>
        </w:tc>
        <w:tc>
          <w:tcPr>
            <w:tcW w:type="dxa" w:w="5012"/>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Art. 19–21, 25–32 DSG</w:t>
            </w:r>
          </w:p>
        </w:tc>
      </w:tr>
      <w:tr>
        <w:trPr>
          <w:cantSplit/>
          <w:tblHeader w:val="false"/>
        </w:trPr>
        <w:tc>
          <w:tcPr>
            <w:tcW w:type="dxa" w:w="4626"/>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Art. 44 ff. DSGVO (Drittländer)</w:t>
            </w:r>
          </w:p>
        </w:tc>
        <w:tc>
          <w:tcPr>
            <w:tcW w:type="dxa" w:w="5012"/>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Art. 16, 17 DSG, Anhang 1 DSV</w:t>
            </w:r>
          </w:p>
        </w:tc>
      </w:tr>
    </w:tbl>
    <w:p>
      <w:pPr>
        <w:spacing w:after="60"/>
      </w:pPr>
    </w:p>
    <w:p>
      <w:pPr>
        <w:pStyle w:val="Heading1"/>
      </w:pPr>
      <w:r>
        <w:t xml:space="preserve">3. Begriffe</w:t>
      </w:r>
    </w:p>
    <w:p>
      <w:pPr>
        <w:spacing w:after="120" w:line="276"/>
      </w:pPr>
      <w:r>
        <w:t xml:space="preserve">Die Begriffe der AVV entsprechen den Begriffen des DSG (Art. 5 DSG) wie folgt: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626"/>
        <w:gridCol w:w="5012"/>
      </w:tblGrid>
      <w:tr>
        <w:trPr>
          <w:cantSplit/>
          <w:tblHeader/>
        </w:trPr>
        <w:tc>
          <w:tcPr>
            <w:tcW w:type="dxa" w:w="4626"/>
            <w:tcBorders>
              <w:top w:val="single" w:color="CFC9BD" w:sz="4"/>
              <w:left w:val="single" w:color="CFC9BD" w:sz="4"/>
              <w:bottom w:val="single" w:color="CFC9BD" w:sz="4"/>
              <w:right w:val="single" w:color="CFC9BD" w:sz="4"/>
            </w:tcBorders>
            <w:shd w:fill="F4F2EE" w:color="auto" w:val="clear"/>
            <w:tcMar>
              <w:top w:type="dxa" w:w="80"/>
              <w:left w:type="dxa" w:w="120"/>
              <w:bottom w:type="dxa" w:w="80"/>
              <w:right w:type="dxa" w:w="120"/>
            </w:tcMar>
          </w:tcPr>
          <w:p>
            <w:r>
              <w:rPr>
                <w:b/>
                <w:bCs/>
                <w:sz w:val="20"/>
                <w:szCs w:val="20"/>
              </w:rPr>
              <w:t xml:space="preserve">AVV (DSGVO)</w:t>
            </w:r>
          </w:p>
        </w:tc>
        <w:tc>
          <w:tcPr>
            <w:tcW w:type="dxa" w:w="5012"/>
            <w:tcBorders>
              <w:top w:val="single" w:color="CFC9BD" w:sz="4"/>
              <w:left w:val="single" w:color="CFC9BD" w:sz="4"/>
              <w:bottom w:val="single" w:color="CFC9BD" w:sz="4"/>
              <w:right w:val="single" w:color="CFC9BD" w:sz="4"/>
            </w:tcBorders>
            <w:shd w:fill="F4F2EE" w:color="auto" w:val="clear"/>
            <w:tcMar>
              <w:top w:type="dxa" w:w="80"/>
              <w:left w:type="dxa" w:w="120"/>
              <w:bottom w:type="dxa" w:w="80"/>
              <w:right w:type="dxa" w:w="120"/>
            </w:tcMar>
          </w:tcPr>
          <w:p>
            <w:r>
              <w:rPr>
                <w:b/>
                <w:bCs/>
                <w:sz w:val="20"/>
                <w:szCs w:val="20"/>
              </w:rPr>
              <w:t xml:space="preserve">DSG</w:t>
            </w:r>
          </w:p>
        </w:tc>
      </w:tr>
      <w:tr>
        <w:trPr>
          <w:cantSplit/>
          <w:tblHeader w:val="false"/>
        </w:trPr>
        <w:tc>
          <w:tcPr>
            <w:tcW w:type="dxa" w:w="4626"/>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personenbezogene Daten</w:t>
            </w:r>
          </w:p>
        </w:tc>
        <w:tc>
          <w:tcPr>
            <w:tcW w:type="dxa" w:w="5012"/>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Personendaten</w:t>
            </w:r>
          </w:p>
        </w:tc>
      </w:tr>
      <w:tr>
        <w:trPr>
          <w:cantSplit/>
          <w:tblHeader w:val="false"/>
        </w:trPr>
        <w:tc>
          <w:tcPr>
            <w:tcW w:type="dxa" w:w="4626"/>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besondere Kategorien personenbezogener Daten (Art. 9 DSGVO)</w:t>
            </w:r>
          </w:p>
        </w:tc>
        <w:tc>
          <w:tcPr>
            <w:tcW w:type="dxa" w:w="5012"/>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besonders schützenswerte Personendaten (Art. 5 lit. c DSG)</w:t>
            </w:r>
          </w:p>
        </w:tc>
      </w:tr>
      <w:tr>
        <w:trPr>
          <w:cantSplit/>
          <w:tblHeader w:val="false"/>
        </w:trPr>
        <w:tc>
          <w:tcPr>
            <w:tcW w:type="dxa" w:w="4626"/>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Verarbeitung, verarbeiten</w:t>
            </w:r>
          </w:p>
        </w:tc>
        <w:tc>
          <w:tcPr>
            <w:tcW w:type="dxa" w:w="5012"/>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Bearbeitung, bearbeiten</w:t>
            </w:r>
          </w:p>
        </w:tc>
      </w:tr>
      <w:tr>
        <w:trPr>
          <w:cantSplit/>
          <w:tblHeader w:val="false"/>
        </w:trPr>
        <w:tc>
          <w:tcPr>
            <w:tcW w:type="dxa" w:w="4626"/>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Verantwortlicher</w:t>
            </w:r>
          </w:p>
        </w:tc>
        <w:tc>
          <w:tcPr>
            <w:tcW w:type="dxa" w:w="5012"/>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Verantwortlicher</w:t>
            </w:r>
          </w:p>
        </w:tc>
      </w:tr>
      <w:tr>
        <w:trPr>
          <w:cantSplit/>
          <w:tblHeader w:val="false"/>
        </w:trPr>
        <w:tc>
          <w:tcPr>
            <w:tcW w:type="dxa" w:w="4626"/>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Auftragsverarbeiter</w:t>
            </w:r>
          </w:p>
        </w:tc>
        <w:tc>
          <w:tcPr>
            <w:tcW w:type="dxa" w:w="5012"/>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Auftragsbearbeiter</w:t>
            </w:r>
          </w:p>
        </w:tc>
      </w:tr>
      <w:tr>
        <w:trPr>
          <w:cantSplit/>
          <w:tblHeader w:val="false"/>
        </w:trPr>
        <w:tc>
          <w:tcPr>
            <w:tcW w:type="dxa" w:w="4626"/>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Unterauftragsverarbeiter</w:t>
            </w:r>
          </w:p>
        </w:tc>
        <w:tc>
          <w:tcPr>
            <w:tcW w:type="dxa" w:w="5012"/>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Dritter, dem der Auftragsbearbeiter die Bearbeitung überträgt (Art. 9 Abs. 3 DSG)</w:t>
            </w:r>
          </w:p>
        </w:tc>
      </w:tr>
      <w:tr>
        <w:trPr>
          <w:cantSplit/>
          <w:tblHeader w:val="false"/>
        </w:trPr>
        <w:tc>
          <w:tcPr>
            <w:tcW w:type="dxa" w:w="4626"/>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Verletzung des Schutzes personenbezogener Daten</w:t>
            </w:r>
          </w:p>
        </w:tc>
        <w:tc>
          <w:tcPr>
            <w:tcW w:type="dxa" w:w="5012"/>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Verletzung der Datensicherheit (Art. 5 lit. h DSG)</w:t>
            </w:r>
          </w:p>
        </w:tc>
      </w:tr>
      <w:tr>
        <w:trPr>
          <w:cantSplit/>
          <w:tblHeader w:val="false"/>
        </w:trPr>
        <w:tc>
          <w:tcPr>
            <w:tcW w:type="dxa" w:w="4626"/>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Aufsichtsbehörde</w:t>
            </w:r>
          </w:p>
        </w:tc>
        <w:tc>
          <w:tcPr>
            <w:tcW w:type="dxa" w:w="5012"/>
            <w:tcBorders>
              <w:top w:val="single" w:color="CFC9BD" w:sz="4"/>
              <w:left w:val="single" w:color="CFC9BD" w:sz="4"/>
              <w:bottom w:val="single" w:color="CFC9BD" w:sz="4"/>
              <w:right w:val="single" w:color="CFC9BD" w:sz="4"/>
            </w:tcBorders>
            <w:tcMar>
              <w:top w:type="dxa" w:w="80"/>
              <w:left w:type="dxa" w:w="120"/>
              <w:bottom w:type="dxa" w:w="80"/>
              <w:right w:type="dxa" w:w="120"/>
            </w:tcMar>
          </w:tcPr>
          <w:p>
            <w:r>
              <w:rPr>
                <w:sz w:val="20"/>
                <w:szCs w:val="20"/>
              </w:rPr>
              <w:t xml:space="preserve">Eidgenössischer Datenschutz- und Öffentlichkeitsbeauftragter (EDÖB) oder kantonale Datenschutzaufsicht</w:t>
            </w:r>
          </w:p>
        </w:tc>
      </w:tr>
    </w:tbl>
    <w:p>
      <w:pPr>
        <w:spacing w:after="60"/>
      </w:pPr>
    </w:p>
    <w:p>
      <w:pPr>
        <w:pStyle w:val="Heading1"/>
      </w:pPr>
      <w:r>
        <w:t xml:space="preserve">4. Bearbeitung im Auftrag (Art. 9 DSG)</w:t>
      </w:r>
    </w:p>
    <w:p>
      <w:pPr>
        <w:spacing w:after="120" w:line="276"/>
      </w:pPr>
      <w:r>
        <w:t xml:space="preserve">(1) basebox bearbeitet Personendaten des Kunden nur so, wie der Kunde es selbst tun dürfte (Art. 9 Abs. 1 lit. a DSG), und nur nach der AVV und den dokumentierten Weisungen des Kunden (Ziffer 4 und 7.1 AVV).</w:t>
      </w:r>
    </w:p>
    <w:p>
      <w:pPr>
        <w:spacing w:after="120" w:line="276"/>
      </w:pPr>
      <w:r>
        <w:t xml:space="preserve">(2) Unterliegen die Daten einer gesetzlichen oder vertraglichen Geheimhaltungspflicht, prüft der Kunde vor der Übertragung, ob diese die Übertragung an basebox zulässt (Art. 9 Abs. 1 lit. b DSG). Für das Berufsgeheimnis (Art. 321 StGB) und das Amtsgeheimnis (Art. 320 StGB) gilt zusätzlich die „Vereinbarung zur Geheimhaltung nach Art. 321 und Art. 320 StGB (Schweiz)“ der basebox GmbH, soweit sie im Angebot einbezogen ist.</w:t>
      </w:r>
    </w:p>
    <w:p>
      <w:pPr>
        <w:spacing w:after="120" w:line="276"/>
      </w:pPr>
      <w:r>
        <w:t xml:space="preserve">(3) Der Kunde vergewissert sich, dass basebox die Datensicherheit gewährleisten kann (Art. 9 Abs. 2 DSG). basebox stellt ihm dafür die TOM-Anlage, das ISO-27001-Zertifikat im jeweils gültigen Umfang und die übrigen Nachweise nach Ziffer 14 AVV zur Verfügung.</w:t>
      </w:r>
    </w:p>
    <w:p>
      <w:pPr>
        <w:spacing w:after="120" w:line="276"/>
      </w:pPr>
      <w:r>
        <w:t xml:space="preserve">(4) basebox verwendet Personendaten des Kunden nicht zu eigenen Zwecken und nicht zum Training von KI-Modellen (Ziffer 7.6 AVV).</w:t>
      </w:r>
    </w:p>
    <w:p>
      <w:pPr>
        <w:pStyle w:val="Heading1"/>
      </w:pPr>
      <w:r>
        <w:t xml:space="preserve">5. Datensicherheit</w:t>
      </w:r>
    </w:p>
    <w:p>
      <w:pPr>
        <w:spacing w:after="120" w:line="276"/>
      </w:pPr>
      <w:r>
        <w:t xml:space="preserve">(1) basebox trifft die technischen und organisatorischen Maßnahmen nach Art. 8 DSG und Art. 1–3 DSV, die dem Risiko angemessen sind. Sie ergeben sich aus der TOM-Anlage.</w:t>
      </w:r>
    </w:p>
    <w:p>
      <w:pPr>
        <w:spacing w:after="120" w:line="276"/>
      </w:pPr>
      <w:r>
        <w:t xml:space="preserve">(2) Bearbeitet der Kunde besonders schützenswerte Personendaten in großem Umfang, gelten für ihn und basebox als privaten Auftragsbearbeiter gegebenenfalls die Pflichten zur Protokollierung (Art. 4 DSV) und zum Bearbeitungsreglement (Art. 5 DSV). Die Protokollierung in der basebox KI-Plattform richtet sich nach der vom Kunden gewählten Einstellung (Ziffer 9 AVV). Für die Bereiche, die basebox verantwortet, stellt basebox dem Kunden auf Anfrage die Angaben zur Verfügung, die er für sein Bearbeitungsreglement braucht.</w:t>
      </w:r>
    </w:p>
    <w:p>
      <w:pPr>
        <w:pStyle w:val="Heading1"/>
      </w:pPr>
      <w:r>
        <w:t xml:space="preserve">6. Unterauftragsverarbeiter (Art. 9 Abs. 3 DSG)</w:t>
      </w:r>
    </w:p>
    <w:p>
      <w:pPr>
        <w:spacing w:after="120" w:line="276"/>
      </w:pPr>
      <w:r>
        <w:t xml:space="preserve">(1) basebox überträgt die Bearbeitung nur mit vorgängiger Genehmigung des Kunden an Dritte (Art. 9 Abs. 3 DSG). Der Kunde erteilt mit dieser Ergänzung die allgemeine Genehmigung nach Art. 7 Abs. 1 DSV für die Unterauftragsverarbeiter in der Liste der Unterauftragsverarbeiter, soweit sie für das im Angebot vereinbarte Betriebsmodell erforderlich sind oder der Kunde den jeweiligen Dienst freischaltet.</w:t>
      </w:r>
    </w:p>
    <w:p>
      <w:pPr>
        <w:spacing w:after="120" w:line="276"/>
      </w:pPr>
      <w:r>
        <w:t xml:space="preserve">(2) basebox informiert den Kunden vorab über jede beabsichtigte Hinzuziehung oder Ersetzung eines Unterauftragsverarbeiters. Der Kunde kann widersprechen (Art. 7 Abs. 2 DSV). Das Verfahren richtet sich nach Ziffer 11.2 AVV.</w:t>
      </w:r>
    </w:p>
    <w:p>
      <w:pPr>
        <w:spacing w:after="120" w:line="276"/>
      </w:pPr>
      <w:r>
        <w:t xml:space="preserve">(3) basebox verpflichtet jeden Unterauftragsverarbeiter vertraglich auf Pflichten, die denen aus der AVV und dieser Ergänzung entsprechen, und bleibt dem Kunden für deren Einhaltung verantwortlich (Ziffer 11.3 AVV).</w:t>
      </w:r>
    </w:p>
    <w:p>
      <w:pPr>
        <w:pStyle w:val="Heading1"/>
      </w:pPr>
      <w:r>
        <w:t xml:space="preserve">7. Ort der Bearbeitung und Bekanntgabe ins Ausland (Art. 16, 17 DSG)</w:t>
      </w:r>
    </w:p>
    <w:p>
      <w:pPr>
        <w:spacing w:after="120" w:line="276"/>
      </w:pPr>
      <w:r>
        <w:t xml:space="preserve">(1) Cloud: basebox betreibt die Cloud in einem Rechenzentrum in Deutschland. Deutschland gehört zu den Staaten mit angemessenem Datenschutz nach Anhang 1 DSV. Die Bekanntgabe von Personendaten nach Deutschland ist deshalb nach Art. 16 Abs. 1 DSG zulässig. Ein Rechenzentrum in der Schweiz für die Cloud ist in Arbeit und soll spätestens 2027 in Betrieb gehen. Ob und ab wann die Umgebung des Kunden dorthin wechselt, vereinbaren die Parteien gesondert.</w:t>
      </w:r>
    </w:p>
    <w:p>
      <w:pPr>
        <w:spacing w:after="120" w:line="276"/>
      </w:pPr>
      <w:r>
        <w:t xml:space="preserve">(2) Server beim Kunden: Die basebox KI-Plattform läuft auf dem Server im Haus des Kunden. Den Server liefert der Hardware-Partner FAST LTA; Vertragspartner für Hardware und Servicevertrag ist FAST LTA, nicht basebox. Greift basebox für Betrieb, Wartung oder Support aus Deutschland auf den Server zu, gilt Absatz 1 Satz 2 und 3 entsprechend.</w:t>
      </w:r>
    </w:p>
    <w:p>
      <w:pPr>
        <w:spacing w:after="120" w:line="276"/>
      </w:pPr>
      <w:r>
        <w:t xml:space="preserve">(3) Unterauftragsverarbeiter bearbeiten Personendaten in Staaten nach Anhang 1 DSV, soweit die Liste der Unterauftragsverarbeiter nichts anderes ausweist. Ist bei einem Dienst ein Zugriff aus einem Staat ohne angemessenen Datenschutz nicht ausgeschlossen, weist die Liste das aus. basebox setzt einen solchen Dienst für den Kunden nur ein, wenn der Kunde ihn freischaltet, und nur mit Garantien nach Art. 16 Abs. 2 DSG, insbesondere den vom EDÖB anerkannten EU-Standardvertragsklauseln mit den für die Schweiz nötigen Anpassungen.</w:t>
      </w:r>
    </w:p>
    <w:p>
      <w:pPr>
        <w:spacing w:after="120" w:line="276"/>
      </w:pPr>
      <w:r>
        <w:t xml:space="preserve">(4) basebox teilt dem Kunden auf Anfrage die Staaten und Garantien mit, die er für sein Verzeichnis der Bearbeitungstätigkeiten braucht (Art. 12 Abs. 2 lit. g DSG).</w:t>
      </w:r>
    </w:p>
    <w:p>
      <w:pPr>
        <w:pStyle w:val="Heading1"/>
      </w:pPr>
      <w:r>
        <w:t xml:space="preserve">8. Meldung von Verletzungen der Datensicherheit (Art. 24 DSG)</w:t>
      </w:r>
    </w:p>
    <w:p>
      <w:pPr>
        <w:spacing w:after="120" w:line="276"/>
      </w:pPr>
      <w:r>
        <w:t xml:space="preserve">(1) basebox meldet dem Kunden eine Verletzung der Datensicherheit so rasch als möglich, nachdem sie basebox bekannt geworden ist (Art. 24 Abs. 3 DSG; Ziffer 7.5 AVV).</w:t>
      </w:r>
    </w:p>
    <w:p>
      <w:pPr>
        <w:spacing w:after="120" w:line="276"/>
      </w:pPr>
      <w:r>
        <w:t xml:space="preserve">(2) Die Meldung enthält, soweit verfügbar, die Angaben nach Ziffer 7.5 Abs. 2 AVV und zusätzlich, soweit möglich, Zeitpunkt und Dauer der Verletzung (Art. 15 Abs. 1 DSV). Was nicht sofort bekannt ist, liefert basebox so rasch als möglich nach.</w:t>
      </w:r>
    </w:p>
    <w:p>
      <w:pPr>
        <w:spacing w:after="120" w:line="276"/>
      </w:pPr>
      <w:r>
        <w:t xml:space="preserve">(3) Ob die Verletzung dem EDÖB oder der kantonalen Aufsicht zu melden und die betroffenen Personen zu informieren sind, entscheidet der Kunde (Art. 24 Abs. 1 und 4 DSG). basebox unterstützt ihn dabei.</w:t>
      </w:r>
    </w:p>
    <w:p>
      <w:pPr>
        <w:spacing w:after="120" w:line="276"/>
      </w:pPr>
      <w:r>
        <w:t xml:space="preserve">(4) Meldeweg von basebox: datenschutz@basebox.ai.</w:t>
      </w:r>
    </w:p>
    <w:p>
      <w:pPr>
        <w:pStyle w:val="Heading1"/>
      </w:pPr>
      <w:r>
        <w:t xml:space="preserve">9. Unterstützung des Kunden</w:t>
      </w:r>
    </w:p>
    <w:p>
      <w:pPr>
        <w:spacing w:after="120" w:line="276"/>
      </w:pPr>
      <w:r>
        <w:t xml:space="preserve">basebox unterstützt den Kunden nach Ziffer 7.4, 15 und 17 AVV angemessen bei:</w:t>
      </w:r>
    </w:p>
    <w:p>
      <w:pPr>
        <w:spacing w:after="60" w:line="276"/>
        <w:ind w:left="400" w:hanging="300"/>
      </w:pPr>
      <w:r>
        <w:t xml:space="preserve">a) Auskunft, Datenherausgabe, Berichtigung und Löschung (Art. 25–32 DSG),</w:t>
      </w:r>
    </w:p>
    <w:p>
      <w:pPr>
        <w:spacing w:after="60" w:line="276"/>
        <w:ind w:left="400" w:hanging="300"/>
      </w:pPr>
      <w:r>
        <w:t xml:space="preserve">b) Informationspflichten (Art. 19–21 DSG),</w:t>
      </w:r>
    </w:p>
    <w:p>
      <w:pPr>
        <w:spacing w:after="60" w:line="276"/>
        <w:ind w:left="400" w:hanging="300"/>
      </w:pPr>
      <w:r>
        <w:t xml:space="preserve">c) der Datenschutz-Folgenabschätzung und der Konsultation des EDÖB (Art. 22, 23 DSG),</w:t>
      </w:r>
    </w:p>
    <w:p>
      <w:pPr>
        <w:spacing w:after="60" w:line="276"/>
        <w:ind w:left="400" w:hanging="300"/>
      </w:pPr>
      <w:r>
        <w:t xml:space="preserve">d) seinem Verzeichnis der Bearbeitungstätigkeiten (Art. 12 DSG).</w:t>
      </w:r>
    </w:p>
    <w:p>
      <w:pPr>
        <w:pStyle w:val="Heading1"/>
      </w:pPr>
      <w:r>
        <w:t xml:space="preserve">10. Verzeichnis von basebox</w:t>
      </w:r>
    </w:p>
    <w:p>
      <w:pPr>
        <w:spacing w:after="120" w:line="276"/>
      </w:pPr>
      <w:r>
        <w:t xml:space="preserve">basebox führt ein Verzeichnis der Bearbeitungen, die sie im Auftrag des Kunden durchführt, mit den Angaben nach Art. 12 Abs. 3 DSG.</w:t>
      </w:r>
    </w:p>
    <w:p>
      <w:pPr>
        <w:pStyle w:val="Heading1"/>
      </w:pPr>
      <w:r>
        <w:t xml:space="preserve">11. Aufsicht</w:t>
      </w:r>
    </w:p>
    <w:p>
      <w:pPr>
        <w:spacing w:after="120" w:line="276"/>
      </w:pPr>
      <w:r>
        <w:t xml:space="preserve">(1) Zuständig für die Aufsicht über den Kunden ist der EDÖB, bei kantonalen und kommunalen Stellen die Datenschutzaufsicht des Kantons.</w:t>
      </w:r>
    </w:p>
    <w:p>
      <w:pPr>
        <w:spacing w:after="120" w:line="276"/>
      </w:pPr>
      <w:r>
        <w:t xml:space="preserve">(2) basebox wirkt an Untersuchungen der für den Kunden zuständigen Aufsicht mit, soweit sie die Bearbeitung im Auftrag des Kunden betreffen, insbesondere durch Auskünfte und die Vorlage von Unterlagen (Art. 49 Abs. 3 DSG). Ziffer 14 AVV gilt entsprechend. Die Zuständigkeit der deutschen Aufsichtsbehörde für basebox bleibt unberührt.</w:t>
      </w:r>
    </w:p>
    <w:p>
      <w:pPr>
        <w:pStyle w:val="Heading1"/>
      </w:pPr>
      <w:r>
        <w:t xml:space="preserve">12. Rückgabe und Löschung</w:t>
      </w:r>
    </w:p>
    <w:p>
      <w:pPr>
        <w:spacing w:after="120" w:line="276"/>
      </w:pPr>
      <w:r>
        <w:t xml:space="preserve">Nach Ende der Leistungen gibt basebox die Personendaten des Kunden nach dessen Wahl zurück oder löscht sie, soweit keine gesetzliche Pflicht zur Aufbewahrung besteht (Ziffer 18 AVV).</w:t>
      </w:r>
    </w:p>
    <w:p>
      <w:pPr>
        <w:pStyle w:val="Heading1"/>
      </w:pPr>
      <w:r>
        <w:t xml:space="preserve">13. Schlussbestimmungen</w:t>
      </w:r>
    </w:p>
    <w:p>
      <w:pPr>
        <w:spacing w:after="120" w:line="276"/>
      </w:pPr>
      <w:r>
        <w:t xml:space="preserve">(1) Für Form und Änderungen gilt Ziffer 21 AVV.</w:t>
      </w:r>
    </w:p>
    <w:p>
      <w:pPr>
        <w:spacing w:after="120" w:line="276"/>
      </w:pPr>
      <w:r>
        <w:t xml:space="preserve">(2) Es gilt das im Hauptvertrag vereinbarte Recht. Zwingende Vorschriften des DSG und des kantonalen Datenschutzrechts bleiben unberührt.</w:t>
      </w:r>
    </w:p>
    <w:p>
      <w:pPr>
        <w:spacing w:after="120" w:line="276"/>
      </w:pPr>
      <w:r>
        <w:t xml:space="preserve">(3) Sollten einzelne Bestimmungen unwirksam sein, bleibt die Wirksamkeit der übrigen unberührt.</w:t>
      </w:r>
    </w:p>
    <w:sectPr>
      <w:headerReference w:type="default" r:id="rId6"/>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color w:val="6B665C"/>
        <w:sz w:val="15"/>
        <w:szCs w:val="15"/>
      </w:rPr>
      <w:t xml:space="preserve">basebox GmbH · Bahnhofplatz 3 · 86919 Utting am Ammersee · datenschutz@basebox.ai · basebox.ai · Version 11.10.2026</w:t>
    </w:r>
    <w:r>
      <w:rPr>
        <w:color w:val="6B665C"/>
        <w:sz w:val="15"/>
        <w:szCs w:val="15"/>
      </w:rPr>
      <w:t xml:space="preserve">	Seite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200"/>
      <w:jc w:val="right"/>
    </w:pPr>
    <w:r>
      <w:drawing>
        <wp:inline distT="0" distB="0" distL="0" distR="0">
          <wp:extent cx="1123950" cy="209550"/>
          <wp:effectExtent t="0" r="0" b="0" l="0"/>
          <wp:docPr id="1" name="basebox" descr="Logo basebox" title="base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23950" cy="2095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1D1E1C"/>
        <w:sz w:val="22"/>
        <w:szCs w:val="22"/>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pPr>
      <w:spacing w:after="120"/>
    </w:pPr>
    <w:rPr>
      <w:b/>
      <w:bCs/>
      <w:color w:val="1D1E1C"/>
      <w:sz w:val="36"/>
      <w:szCs w:val="36"/>
      <w:rFonts w:ascii="Cambria" w:cs="Cambria" w:eastAsia="Cambria" w:hAnsi="Cambria"/>
    </w:rPr>
  </w:style>
  <w:style w:type="paragraph" w:styleId="Heading1">
    <w:name w:val="Heading 1"/>
    <w:basedOn w:val="Normal"/>
    <w:next w:val="Normal"/>
    <w:qFormat/>
    <w:pPr>
      <w:keepNext/>
      <w:keepLines/>
      <w:spacing w:before="300" w:after="120"/>
      <w:outlineLvl w:val="0"/>
    </w:pPr>
    <w:rPr>
      <w:b/>
      <w:bCs/>
      <w:color w:val="1D1E1C"/>
      <w:sz w:val="26"/>
      <w:szCs w:val="26"/>
      <w:rFonts w:ascii="Cambria" w:cs="Cambria" w:eastAsia="Cambria" w:hAnsi="Cambria"/>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229d0ae2139e9c6086b51706f0328c898c63ea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Ergänzung zur Auftragsverarbeitungsvereinbarung (AVV) für Kunden in der Schweiz</dc:title>
  <dc:creator>basebox GmbH</dc:creator>
  <dc:description>Ergänzung zur Auftragsverarbeitungsvereinbarung (AVV) für Kunden in der Schweiz, Version 11.10.2026</dc:description>
  <cp:lastModifiedBy>Un-named</cp:lastModifiedBy>
  <cp:revision>1</cp:revision>
  <dcterms:created xsi:type="dcterms:W3CDTF">2026-10-11T09:38:22.053Z</dcterms:created>
  <dcterms:modified xsi:type="dcterms:W3CDTF">2026-10-11T09:38:22.054Z</dcterms:modified>
</cp:coreProperties>
</file>

<file path=docProps/custom.xml><?xml version="1.0" encoding="utf-8"?>
<Properties xmlns="http://schemas.openxmlformats.org/officeDocument/2006/custom-properties" xmlns:vt="http://schemas.openxmlformats.org/officeDocument/2006/docPropsVTypes"/>
</file>