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keepNext/>
        <w:spacing w:after="80"/>
      </w:pPr>
      <w:r>
        <w:rPr>
          <w:b/>
          <w:bCs/>
          <w:sz w:val="34"/>
          <w:szCs w:val="34"/>
        </w:rPr>
        <w:t xml:space="preserve">Muster: Betriebsvereinbarung oder Dienstvereinbarung über die Einführung und Nutzung der KI-Plattform</w:t>
      </w:r>
    </w:p>
    <w:p>
      <w:pPr>
        <w:spacing w:after="240"/>
      </w:pPr>
      <w:r>
        <w:rPr>
          <w:color w:val="767171"/>
          <w:sz w:val="19"/>
          <w:szCs w:val="19"/>
        </w:rPr>
        <w:t xml:space="preserve">Unverbindlicher Entwurf  |  Version 1.0  |  Stand: 8. Oktober 2026</w:t>
      </w:r>
    </w:p>
    <w:p>
      <w:pPr>
        <w:shd w:val="clear" w:color="auto" w:fill="F4F4F4"/>
        <w:spacing w:before="60" w:after="160"/>
        <w:ind w:left="120" w:right="120"/>
      </w:pPr>
      <w:r>
        <w:rPr>
          <w:color w:val="404040"/>
          <w:sz w:val="19"/>
          <w:szCs w:val="19"/>
        </w:rPr>
        <w:t xml:space="preserve">Wichtig: Dieser Text ist ein unverbindlicher Entwurf und soll Ihnen die Arbeit erleichtern. Er ist keine Rechtsberatung und kein fertiger Vertrag. Jede Vereinbarung handeln Arbeitgeber und Betriebs- oder Personalrat selbst aus. Passen Sie den Entwurf an Ihr Haus an und lassen Sie ihn vor dem Abschluss prüfen, zum Beispiel durch Ihre Rechtsabteilung oder Ihren Datenschutzbeauftragten. basebox übernimmt keine Gewähr für Vollständigkeit, Richtigkeit oder Wirksamkeit.</w:t>
      </w:r>
    </w:p>
    <w:p>
      <w:pPr>
        <w:shd w:val="clear" w:color="auto" w:fill="F4F4F4"/>
        <w:spacing w:before="60" w:after="160"/>
        <w:ind w:left="120" w:right="120"/>
      </w:pPr>
      <w:r>
        <w:rPr>
          <w:color w:val="404040"/>
          <w:sz w:val="19"/>
          <w:szCs w:val="19"/>
        </w:rPr>
        <w:t xml:space="preserve">So nutzen Sie den Entwurf: Text in eckigen Klammern [ … ] ersetzen Sie durch Ihre Angaben. Wo zwei Varianten stehen, etwa [Betriebsrat / Personalrat], streichen Sie die nicht passende. Graue Kästen sind Hinweise für Sie und kommen nicht in die Vereinbarung. In privatwirtschaftlichen Häusern gilt das Betriebsverfassungsgesetz (BetrVG), in Behörden und öffentlichen Kliniken das Bundes- oder Landespersonalvertretungsgesetz.</w:t>
      </w:r>
    </w:p>
    <w:p>
      <w:pPr>
        <w:spacing w:after="110"/>
      </w:pPr>
      <w:r>
        <w:rPr>
          <w:sz w:val="21"/>
          <w:szCs w:val="21"/>
        </w:rPr>
        <w:t xml:space="preserve">Zwischen</w:t>
      </w:r>
    </w:p>
    <w:p>
      <w:pPr>
        <w:spacing w:after="60"/>
      </w:pPr>
      <w:r>
        <w:rPr>
          <w:b/>
          <w:bCs/>
          <w:sz w:val="21"/>
          <w:szCs w:val="21"/>
        </w:rPr>
        <w:t xml:space="preserve">[Name und Anschrift des Arbeitgebers / der Dienststelle]</w:t>
      </w:r>
    </w:p>
    <w:p>
      <w:pPr>
        <w:spacing w:after="110"/>
      </w:pPr>
      <w:r>
        <w:rPr>
          <w:sz w:val="21"/>
          <w:szCs w:val="21"/>
        </w:rPr>
        <w:t xml:space="preserve">– im Folgenden „[Arbeitgeber / Dienststelle]“ –</w:t>
      </w:r>
    </w:p>
    <w:p>
      <w:pPr>
        <w:spacing w:after="110"/>
      </w:pPr>
      <w:r>
        <w:rPr>
          <w:sz w:val="21"/>
          <w:szCs w:val="21"/>
        </w:rPr>
        <w:t xml:space="preserve">und</w:t>
      </w:r>
    </w:p>
    <w:p>
      <w:pPr>
        <w:spacing w:after="60"/>
      </w:pPr>
      <w:r>
        <w:rPr>
          <w:b/>
          <w:bCs/>
          <w:sz w:val="21"/>
          <w:szCs w:val="21"/>
        </w:rPr>
        <w:t xml:space="preserve">[dem Betriebsrat / dem Personalrat] von [Name der Einrichtung]</w:t>
      </w:r>
    </w:p>
    <w:p>
      <w:pPr>
        <w:spacing w:after="110"/>
      </w:pPr>
      <w:r>
        <w:rPr>
          <w:sz w:val="21"/>
          <w:szCs w:val="21"/>
        </w:rPr>
        <w:t xml:space="preserve">– im Folgenden „[Betriebsrat / Personalrat]“ –</w:t>
      </w:r>
    </w:p>
    <w:p>
      <w:pPr>
        <w:spacing w:after="110"/>
      </w:pPr>
      <w:r>
        <w:rPr>
          <w:sz w:val="21"/>
          <w:szCs w:val="21"/>
        </w:rPr>
        <w:t xml:space="preserve">wird folgende [Betriebsvereinbarung / Dienstvereinbarung] geschlossen.</w:t>
      </w:r>
    </w:p>
    <w:p>
      <w:pPr>
        <w:keepNext/>
        <w:spacing w:before="300" w:after="100"/>
      </w:pPr>
      <w:r>
        <w:rPr>
          <w:b/>
          <w:bCs/>
          <w:sz w:val="24"/>
          <w:szCs w:val="24"/>
        </w:rPr>
        <w:t xml:space="preserve">Präambel</w:t>
      </w:r>
    </w:p>
    <w:p>
      <w:pPr>
        <w:spacing w:after="110"/>
      </w:pPr>
      <w:r>
        <w:rPr>
          <w:sz w:val="21"/>
          <w:szCs w:val="21"/>
        </w:rPr>
        <w:t xml:space="preserve">[Name der Einrichtung] führt die KI-Plattform basebox ein. Sie soll die Beschäftigten bei ihrer Arbeit unterstützen, etwa beim Entwerfen von Texten, beim Suchen in Dokumenten und beim Zusammenfassen von Unterlagen. Die Parteien wollen die Chancen der KI nutzen und zugleich die Persönlichkeitsrechte der Beschäftigten schützen. Die Entscheidung über Arbeitsergebnisse bleibt immer beim Menschen.</w:t>
      </w:r>
    </w:p>
    <w:p>
      <w:pPr>
        <w:keepNext/>
        <w:spacing w:before="300" w:after="100"/>
      </w:pPr>
      <w:r>
        <w:rPr>
          <w:b/>
          <w:bCs/>
          <w:sz w:val="24"/>
          <w:szCs w:val="24"/>
        </w:rPr>
        <w:t xml:space="preserve">§ 1 Gegenstand und Geltungsbereich</w:t>
      </w:r>
    </w:p>
    <w:p>
      <w:pPr>
        <w:spacing w:after="110"/>
      </w:pPr>
      <w:r>
        <w:rPr>
          <w:sz w:val="21"/>
          <w:szCs w:val="21"/>
        </w:rPr>
        <w:t xml:space="preserve">(1) Diese Vereinbarung regelt die Einführung, die Nutzung und wesentliche Änderungen der KI-Plattform basebox (im Folgenden „KI-Plattform“) einschließlich der darauf freigegebenen Anwendungen (im Folgenden „Apps“).</w:t>
      </w:r>
    </w:p>
    <w:p>
      <w:pPr>
        <w:spacing w:after="110"/>
      </w:pPr>
      <w:r>
        <w:rPr>
          <w:sz w:val="21"/>
          <w:szCs w:val="21"/>
        </w:rPr>
        <w:t xml:space="preserve">(2) Sie gilt für alle Beschäftigten von [Name der Einrichtung] im Sinne von [§ 5 BetrVG / § 4 BPersVG bzw. der entsprechenden Regelung im Landespersonalvertretungsgesetz], die die KI-Plattform nutzen. [Ausgenommen sind: …]</w:t>
      </w:r>
    </w:p>
    <w:p>
      <w:pPr>
        <w:spacing w:after="110"/>
      </w:pPr>
      <w:r>
        <w:rPr>
          <w:sz w:val="21"/>
          <w:szCs w:val="21"/>
        </w:rPr>
        <w:t xml:space="preserve">(3) Die KI-Plattform wird betrieben als [Cloud in einem Rechenzentrum in Deutschland / Server im eigenen Rechenzentrum].</w:t>
      </w:r>
    </w:p>
    <w:p>
      <w:pPr>
        <w:shd w:val="clear" w:color="auto" w:fill="F4F4F4"/>
        <w:spacing w:before="60" w:after="160"/>
        <w:ind w:left="120" w:right="120"/>
      </w:pPr>
      <w:r>
        <w:rPr>
          <w:color w:val="404040"/>
          <w:sz w:val="19"/>
          <w:szCs w:val="19"/>
        </w:rPr>
        <w:t xml:space="preserve">Hinweis: Mitbestimmungsrechte ergeben sich in der Privatwirtschaft insbesondere aus § 87 Abs. 1 Nr. 6 BetrVG (technische Einrichtungen, die zur Überwachung geeignet sind) und § 90 BetrVG (Unterrichtung bei der Planung, ausdrücklich auch bei KI). Nach § 80 Abs. 3 BetrVG gilt die Hinzuziehung eines Sachverständigen bei KI als erforderlich. Im öffentlichen Dienst gelten die entsprechenden Regelungen des BPersVG (etwa § 80 Abs. 1 Nr. 21) oder des Landesrechts.</w:t>
      </w:r>
    </w:p>
    <w:p>
      <w:pPr>
        <w:keepNext/>
        <w:spacing w:before="300" w:after="100"/>
      </w:pPr>
      <w:r>
        <w:rPr>
          <w:b/>
          <w:bCs/>
          <w:sz w:val="24"/>
          <w:szCs w:val="24"/>
        </w:rPr>
        <w:t xml:space="preserve">§ 2 Begriffe</w:t>
      </w:r>
    </w:p>
    <w:p>
      <w:pPr>
        <w:spacing w:after="110"/>
      </w:pPr>
      <w:r>
        <w:rPr>
          <w:sz w:val="21"/>
          <w:szCs w:val="21"/>
        </w:rPr>
        <w:t xml:space="preserve">(1) KI-Plattform: die Software basebox mit Chat, Suche in Dokumenten und Apps.</w:t>
      </w:r>
    </w:p>
    <w:p>
      <w:pPr>
        <w:spacing w:after="110"/>
      </w:pPr>
      <w:r>
        <w:rPr>
          <w:sz w:val="21"/>
          <w:szCs w:val="21"/>
        </w:rPr>
        <w:t xml:space="preserve">(2) App: eine Anwendung auf der KI-Plattform mit einer festen Anweisung, festen Dokumenten oder Verbindungen zu Systemen, zum Beispiel „Entwurf Entlassbrief“ oder „Antwort auf Bürgeranfrage“.</w:t>
      </w:r>
    </w:p>
    <w:p>
      <w:pPr>
        <w:spacing w:after="110"/>
      </w:pPr>
      <w:r>
        <w:rPr>
          <w:sz w:val="21"/>
          <w:szCs w:val="21"/>
        </w:rPr>
        <w:t xml:space="preserve">(3) Audit-Log: das Protokoll der KI-Plattform, das festhält, welche Kennung wann welche App oder Verbindung genutzt hat.</w:t>
      </w:r>
    </w:p>
    <w:p>
      <w:pPr>
        <w:spacing w:after="110"/>
      </w:pPr>
      <w:r>
        <w:rPr>
          <w:sz w:val="21"/>
          <w:szCs w:val="21"/>
        </w:rPr>
        <w:t xml:space="preserve">(4) Administratorinnen und Administratoren: die Personen, die die KI-Plattform technisch betreuen und Apps freigeben.</w:t>
      </w:r>
    </w:p>
    <w:p>
      <w:pPr>
        <w:keepNext/>
        <w:spacing w:before="300" w:after="100"/>
      </w:pPr>
      <w:r>
        <w:rPr>
          <w:b/>
          <w:bCs/>
          <w:sz w:val="24"/>
          <w:szCs w:val="24"/>
        </w:rPr>
        <w:t xml:space="preserve">§ 3 Grundsätze</w:t>
      </w:r>
    </w:p>
    <w:p>
      <w:pPr>
        <w:spacing w:after="110"/>
      </w:pPr>
      <w:r>
        <w:rPr>
          <w:sz w:val="21"/>
          <w:szCs w:val="21"/>
        </w:rPr>
        <w:t xml:space="preserve">(1) Die KI-Plattform ist ein Hilfsmittel. Ergebnisse der KI sind Entwürfe. Die Beschäftigten prüfen sie, bevor sie verwendet werden. Für Entscheidungen bleibt der Mensch verantwortlich.</w:t>
      </w:r>
    </w:p>
    <w:p>
      <w:pPr>
        <w:spacing w:after="110"/>
      </w:pPr>
      <w:r>
        <w:rPr>
          <w:sz w:val="21"/>
          <w:szCs w:val="21"/>
        </w:rPr>
        <w:t xml:space="preserve">(2) Entscheidungen mit rechtlicher Wirkung für Beschäftigte, insbesondere über Einstellung, Versetzung, Beurteilung oder Kündigung, werden nicht automatisiert durch die KI-Plattform getroffen.</w:t>
      </w:r>
    </w:p>
    <w:p>
      <w:pPr>
        <w:spacing w:after="110"/>
      </w:pPr>
      <w:r>
        <w:rPr>
          <w:sz w:val="21"/>
          <w:szCs w:val="21"/>
        </w:rPr>
        <w:t xml:space="preserve">(3) Die KI-Plattform darf nie mehr sehen als die Person, die sie nutzt. Rechte und Gruppen kommen aus der bestehenden Benutzerverwaltung.</w:t>
      </w:r>
    </w:p>
    <w:p>
      <w:pPr>
        <w:spacing w:after="110"/>
      </w:pPr>
      <w:r>
        <w:rPr>
          <w:sz w:val="21"/>
          <w:szCs w:val="21"/>
        </w:rPr>
        <w:t xml:space="preserve">(4) [Die Nutzung ist freiwillig. / Die Nutzung ist für die in Anlage 1 genannten Aufgaben vorgesehen.] Wer die KI-Plattform nicht nutzt, hat dadurch keine Nachteile.</w:t>
      </w:r>
    </w:p>
    <w:p>
      <w:pPr>
        <w:keepNext/>
        <w:spacing w:before="300" w:after="100"/>
      </w:pPr>
      <w:r>
        <w:rPr>
          <w:b/>
          <w:bCs/>
          <w:sz w:val="24"/>
          <w:szCs w:val="24"/>
        </w:rPr>
        <w:t xml:space="preserve">§ 4 Freigegebene Apps und Erweiterungen</w:t>
      </w:r>
    </w:p>
    <w:p>
      <w:pPr>
        <w:spacing w:after="110"/>
      </w:pPr>
      <w:r>
        <w:rPr>
          <w:sz w:val="21"/>
          <w:szCs w:val="21"/>
        </w:rPr>
        <w:t xml:space="preserve">(1) Genutzt werden dürfen die in Anlage 1 genannten Apps für die dort genannten Gruppen und Zwecke.</w:t>
      </w:r>
    </w:p>
    <w:p>
      <w:pPr>
        <w:spacing w:after="110"/>
      </w:pPr>
      <w:r>
        <w:rPr>
          <w:sz w:val="21"/>
          <w:szCs w:val="21"/>
        </w:rPr>
        <w:t xml:space="preserve">(2) Neue Apps, neue Verbindungen zu Systemen und wesentliche Änderungen teilt [der Arbeitgeber / die Dienststelle] dem [Betriebsrat / Personalrat] vor der Freigabe in Textform mit. Äußert sich der [Betriebsrat / Personalrat] nicht innerhalb von [zwei] Wochen, gilt die Freigabe als abgestimmt. [Apps, die Daten über Beschäftigte auswerten, bedürfen der Zustimmung.]</w:t>
      </w:r>
    </w:p>
    <w:p>
      <w:pPr>
        <w:spacing w:after="110"/>
      </w:pPr>
      <w:r>
        <w:rPr>
          <w:sz w:val="21"/>
          <w:szCs w:val="21"/>
        </w:rPr>
        <w:t xml:space="preserve">(3) Die Websuche wird [nicht / nur für folgende Gruppen: …] freigeschaltet.</w:t>
      </w:r>
    </w:p>
    <w:p>
      <w:pPr>
        <w:spacing w:after="110"/>
      </w:pPr>
      <w:r>
        <w:rPr>
          <w:sz w:val="21"/>
          <w:szCs w:val="21"/>
        </w:rPr>
        <w:t xml:space="preserve">(4) Eine App mit externem Modell wird [nicht / nur nach Zustimmung des Betriebsrats / Personalrats] freigeschaltet.</w:t>
      </w:r>
    </w:p>
    <w:p>
      <w:pPr>
        <w:shd w:val="clear" w:color="auto" w:fill="F4F4F4"/>
        <w:spacing w:before="60" w:after="160"/>
        <w:ind w:left="120" w:right="120"/>
      </w:pPr>
      <w:r>
        <w:rPr>
          <w:color w:val="404040"/>
          <w:sz w:val="19"/>
          <w:szCs w:val="19"/>
        </w:rPr>
        <w:t xml:space="preserve">Hinweis: Die Websuche und Apps mit externem Modell sind in basebox standardmäßig ausgeschaltet. Was Ihre Administratoren freischalten, sehen Sie in der Verwaltung der KI-Plattform.</w:t>
      </w:r>
    </w:p>
    <w:p>
      <w:pPr>
        <w:keepNext/>
        <w:spacing w:before="300" w:after="100"/>
      </w:pPr>
      <w:r>
        <w:rPr>
          <w:b/>
          <w:bCs/>
          <w:sz w:val="24"/>
          <w:szCs w:val="24"/>
        </w:rPr>
        <w:t xml:space="preserve">§ 5 Keine Leistungs- und Verhaltenskontrolle</w:t>
      </w:r>
    </w:p>
    <w:p>
      <w:pPr>
        <w:spacing w:after="110"/>
      </w:pPr>
      <w:r>
        <w:rPr>
          <w:sz w:val="21"/>
          <w:szCs w:val="21"/>
        </w:rPr>
        <w:t xml:space="preserve">(1) Die KI-Plattform und ihre Protokolle werden nicht zur Kontrolle von Leistung oder Verhalten der Beschäftigten genutzt.</w:t>
      </w:r>
    </w:p>
    <w:p>
      <w:pPr>
        <w:spacing w:after="110"/>
      </w:pPr>
      <w:r>
        <w:rPr>
          <w:sz w:val="21"/>
          <w:szCs w:val="21"/>
        </w:rPr>
        <w:t xml:space="preserve">(2) Insbesondere werden keine Auswertungen erstellt, wer wie oft, wie lange oder mit welchem Ergebnis mit der KI-Plattform arbeitet. Es werden keine Profile über Beschäftigte gebildet.</w:t>
      </w:r>
    </w:p>
    <w:p>
      <w:pPr>
        <w:spacing w:after="110"/>
      </w:pPr>
      <w:r>
        <w:rPr>
          <w:sz w:val="21"/>
          <w:szCs w:val="21"/>
        </w:rPr>
        <w:t xml:space="preserve">(3) Erkenntnisse, die entgegen dieser Vereinbarung gewonnen werden, dürfen nicht für personelle Maßnahmen verwendet werden.</w:t>
      </w:r>
    </w:p>
    <w:p>
      <w:pPr>
        <w:keepNext/>
        <w:spacing w:before="300" w:after="100"/>
      </w:pPr>
      <w:r>
        <w:rPr>
          <w:b/>
          <w:bCs/>
          <w:sz w:val="24"/>
          <w:szCs w:val="24"/>
        </w:rPr>
        <w:t xml:space="preserve">§ 6 Protokollierung</w:t>
      </w:r>
    </w:p>
    <w:p>
      <w:pPr>
        <w:spacing w:after="110"/>
      </w:pPr>
      <w:r>
        <w:rPr>
          <w:sz w:val="21"/>
          <w:szCs w:val="21"/>
        </w:rPr>
        <w:t xml:space="preserve">(1) Das Audit-Log dient ausschließlich der Sicherheit des Systems, der Fehlersuche und dem Nachweis gegenüber Aufsichtsbehörden. Es enthält Kennungen, Zeitpunkte und die genutzte App oder Verbindung.</w:t>
      </w:r>
    </w:p>
    <w:p>
      <w:pPr>
        <w:spacing w:after="110"/>
      </w:pPr>
      <w:r>
        <w:rPr>
          <w:sz w:val="21"/>
          <w:szCs w:val="21"/>
        </w:rPr>
        <w:t xml:space="preserve">(2) Inhalte von Fragen und Antworten werden [nicht protokolliert / nur für folgende Apps protokolliert: …]. Die Einstellungen stehen in Anlage 2.</w:t>
      </w:r>
    </w:p>
    <w:p>
      <w:pPr>
        <w:spacing w:after="110"/>
      </w:pPr>
      <w:r>
        <w:rPr>
          <w:sz w:val="21"/>
          <w:szCs w:val="21"/>
        </w:rPr>
        <w:t xml:space="preserve">(3) Protokolldaten werden [sechs] Monate aufbewahrt und danach gelöscht, soweit keine gesetzliche Pflicht zur längeren Aufbewahrung besteht.</w:t>
      </w:r>
    </w:p>
    <w:p>
      <w:pPr>
        <w:spacing w:after="110"/>
      </w:pPr>
      <w:r>
        <w:rPr>
          <w:sz w:val="21"/>
          <w:szCs w:val="21"/>
        </w:rPr>
        <w:t xml:space="preserve">(4) Auf das Audit-Log greifen nur [die IT-Sicherheit / benannte Administratorinnen und Administratoren] zu, nur aus einem konkreten Anlass wie einem Sicherheitsvorfall und nur nach dem Vier-Augen-Prinzip. Jeder Zugriff wird dokumentiert. Der [Betriebsrat / Personalrat] wird unverzüglich unterrichtet, wenn dabei personenbezogene Daten von Beschäftigten eingesehen werden.</w:t>
      </w:r>
    </w:p>
    <w:p>
      <w:pPr>
        <w:keepNext/>
        <w:spacing w:before="300" w:after="100"/>
      </w:pPr>
      <w:r>
        <w:rPr>
          <w:b/>
          <w:bCs/>
          <w:sz w:val="24"/>
          <w:szCs w:val="24"/>
        </w:rPr>
        <w:t xml:space="preserve">§ 7 Datenschutz</w:t>
      </w:r>
    </w:p>
    <w:p>
      <w:pPr>
        <w:spacing w:after="110"/>
      </w:pPr>
      <w:r>
        <w:rPr>
          <w:sz w:val="21"/>
          <w:szCs w:val="21"/>
        </w:rPr>
        <w:t xml:space="preserve">(1) Für die Verarbeitung gelten die DSGVO und [das BDSG / das Landesdatenschutzgesetz]. Mit basebox besteht ein Vertrag zur Auftragsverarbeitung nach Art. 28 DSGVO.</w:t>
      </w:r>
    </w:p>
    <w:p>
      <w:pPr>
        <w:spacing w:after="110"/>
      </w:pPr>
      <w:r>
        <w:rPr>
          <w:sz w:val="21"/>
          <w:szCs w:val="21"/>
        </w:rPr>
        <w:t xml:space="preserve">(2) Eingaben und Dokumente werden nicht zum Training von KI-Modellen verwendet.</w:t>
      </w:r>
    </w:p>
    <w:p>
      <w:pPr>
        <w:spacing w:after="110"/>
      </w:pPr>
      <w:r>
        <w:rPr>
          <w:sz w:val="21"/>
          <w:szCs w:val="21"/>
        </w:rPr>
        <w:t xml:space="preserve">(3) Soweit erforderlich, erstellt [der Arbeitgeber / die Dienststelle] eine Datenschutz-Folgenabschätzung. Der [Betriebsrat / Personalrat] erhält sie auf Wunsch.</w:t>
      </w:r>
    </w:p>
    <w:p>
      <w:pPr>
        <w:keepNext/>
        <w:spacing w:before="300" w:after="100"/>
      </w:pPr>
      <w:r>
        <w:rPr>
          <w:b/>
          <w:bCs/>
          <w:sz w:val="24"/>
          <w:szCs w:val="24"/>
        </w:rPr>
        <w:t xml:space="preserve">§ 8 Qualifizierung</w:t>
      </w:r>
    </w:p>
    <w:p>
      <w:pPr>
        <w:spacing w:after="110"/>
      </w:pPr>
      <w:r>
        <w:rPr>
          <w:sz w:val="21"/>
          <w:szCs w:val="21"/>
        </w:rPr>
        <w:t xml:space="preserve">(1) Beschäftigte, die die KI-Plattform nutzen, werden vorher geschult, auch zur KI-Kompetenz nach Art. 4 der KI-Verordnung (EU AI Act). Die Schulung findet in der Arbeitszeit statt.</w:t>
      </w:r>
    </w:p>
    <w:p>
      <w:pPr>
        <w:spacing w:after="110"/>
      </w:pPr>
      <w:r>
        <w:rPr>
          <w:sz w:val="21"/>
          <w:szCs w:val="21"/>
        </w:rPr>
        <w:t xml:space="preserve">(2) Die Schulung umfasst mindestens: Möglichkeiten und Grenzen der KI, Prüfen von Ergebnissen, Umgang mit personenbezogenen Daten, Inhalte dieser Vereinbarung.</w:t>
      </w:r>
    </w:p>
    <w:p>
      <w:pPr>
        <w:keepNext/>
        <w:spacing w:before="300" w:after="100"/>
      </w:pPr>
      <w:r>
        <w:rPr>
          <w:b/>
          <w:bCs/>
          <w:sz w:val="24"/>
          <w:szCs w:val="24"/>
        </w:rPr>
        <w:t xml:space="preserve">§ 9 Arbeitsorganisation und Beschäftigung</w:t>
      </w:r>
    </w:p>
    <w:p>
      <w:pPr>
        <w:spacing w:after="110"/>
      </w:pPr>
      <w:r>
        <w:rPr>
          <w:sz w:val="21"/>
          <w:szCs w:val="21"/>
        </w:rPr>
        <w:t xml:space="preserve">[Die Einführung der KI-Plattform führt nicht zu betriebsbedingten Kündigungen. Ändern sich Aufgaben wesentlich, beraten die Parteien rechtzeitig über Qualifizierung und Arbeitsorganisation.]</w:t>
      </w:r>
    </w:p>
    <w:p>
      <w:pPr>
        <w:shd w:val="clear" w:color="auto" w:fill="F4F4F4"/>
        <w:spacing w:before="60" w:after="160"/>
        <w:ind w:left="120" w:right="120"/>
      </w:pPr>
      <w:r>
        <w:rPr>
          <w:color w:val="404040"/>
          <w:sz w:val="19"/>
          <w:szCs w:val="19"/>
        </w:rPr>
        <w:t xml:space="preserve">Hinweis: Dieser Paragraf ist optional. Ob und in welcher Form Sie ihn aufnehmen, entscheiden die Parteien.</w:t>
      </w:r>
    </w:p>
    <w:p>
      <w:pPr>
        <w:keepNext/>
        <w:spacing w:before="300" w:after="100"/>
      </w:pPr>
      <w:r>
        <w:rPr>
          <w:b/>
          <w:bCs/>
          <w:sz w:val="24"/>
          <w:szCs w:val="24"/>
        </w:rPr>
        <w:t xml:space="preserve">§ 10 Rechte des [Betriebsrats / Personalrats]</w:t>
      </w:r>
    </w:p>
    <w:p>
      <w:pPr>
        <w:spacing w:after="110"/>
      </w:pPr>
      <w:r>
        <w:rPr>
          <w:sz w:val="21"/>
          <w:szCs w:val="21"/>
        </w:rPr>
        <w:t xml:space="preserve">(1) Der [Betriebsrat / Personalrat] erhält auf Wunsch Einblick in die Konfiguration der KI-Plattform, die Liste der freigegebenen Apps und die Protokolleinstellungen.</w:t>
      </w:r>
    </w:p>
    <w:p>
      <w:pPr>
        <w:spacing w:after="110"/>
      </w:pPr>
      <w:r>
        <w:rPr>
          <w:sz w:val="21"/>
          <w:szCs w:val="21"/>
        </w:rPr>
        <w:t xml:space="preserve">(2) Der [Betriebsrat / Personalrat] kann zur Beurteilung der KI-Plattform eine sachverständige Person hinzuziehen. Die Kosten trägt [der Arbeitgeber / die Dienststelle] im erforderlichen Umfang.</w:t>
      </w:r>
    </w:p>
    <w:p>
      <w:pPr>
        <w:spacing w:after="110"/>
      </w:pPr>
      <w:r>
        <w:rPr>
          <w:sz w:val="21"/>
          <w:szCs w:val="21"/>
        </w:rPr>
        <w:t xml:space="preserve">(3) Weitergehende gesetzliche Rechte bleiben unberührt.</w:t>
      </w:r>
    </w:p>
    <w:p>
      <w:pPr>
        <w:keepNext/>
        <w:spacing w:before="300" w:after="100"/>
      </w:pPr>
      <w:r>
        <w:rPr>
          <w:b/>
          <w:bCs/>
          <w:sz w:val="24"/>
          <w:szCs w:val="24"/>
        </w:rPr>
        <w:t xml:space="preserve">§ 11 Überprüfung</w:t>
      </w:r>
    </w:p>
    <w:p>
      <w:pPr>
        <w:spacing w:after="110"/>
      </w:pPr>
      <w:r>
        <w:rPr>
          <w:sz w:val="21"/>
          <w:szCs w:val="21"/>
        </w:rPr>
        <w:t xml:space="preserve">Die Parteien überprüfen die Vereinbarung [jährlich / ein Jahr nach Inkrafttreten] gemeinsam und passen sie bei Bedarf an.</w:t>
      </w:r>
    </w:p>
    <w:p>
      <w:pPr>
        <w:keepNext/>
        <w:spacing w:before="300" w:after="100"/>
      </w:pPr>
      <w:r>
        <w:rPr>
          <w:b/>
          <w:bCs/>
          <w:sz w:val="24"/>
          <w:szCs w:val="24"/>
        </w:rPr>
        <w:t xml:space="preserve">§ 12 Inkrafttreten und Kündigung</w:t>
      </w:r>
    </w:p>
    <w:p>
      <w:pPr>
        <w:spacing w:after="110"/>
      </w:pPr>
      <w:r>
        <w:rPr>
          <w:sz w:val="21"/>
          <w:szCs w:val="21"/>
        </w:rPr>
        <w:t xml:space="preserve">(1) Diese Vereinbarung tritt am [Datum] in Kraft.</w:t>
      </w:r>
    </w:p>
    <w:p>
      <w:pPr>
        <w:spacing w:after="110"/>
      </w:pPr>
      <w:r>
        <w:rPr>
          <w:sz w:val="21"/>
          <w:szCs w:val="21"/>
        </w:rPr>
        <w:t xml:space="preserve">(2) Sie kann mit einer Frist von [drei] Monaten zum Monatsende gekündigt werden. Bis zum Abschluss einer neuen Vereinbarung gilt sie weiter.</w:t>
      </w:r>
    </w:p>
    <w:p>
      <w:pPr>
        <w:spacing w:after="110"/>
      </w:pPr>
      <w:r>
        <w:rPr>
          <w:sz w:val="21"/>
          <w:szCs w:val="21"/>
        </w:rPr>
        <w:t xml:space="preserve">(3) Sollte eine Bestimmung unwirksam sein, bleibt die Vereinbarung im Übrigen wirksam.</w:t>
      </w:r>
    </w:p>
    <w:p>
      <w:pPr>
        <w:keepNext/>
        <w:spacing w:before="400" w:after="100"/>
      </w:pPr>
      <w:r>
        <w:rPr>
          <w:b/>
          <w:bCs/>
          <w:sz w:val="24"/>
          <w:szCs w:val="24"/>
        </w:rPr>
        <w:t xml:space="preserve">Unterschriften</w:t>
      </w:r>
    </w:p>
    <w:tbl>
      <w:tblPr>
        <w:tblW w:w="5000" w:type="pct"/>
        <w:tblBorders>
          <w:top w:val="single" w:sz="4" w:space="0" w:color="D6D3CC"/>
          <w:left w:val="single" w:sz="4" w:space="0" w:color="D6D3CC"/>
          <w:bottom w:val="single" w:sz="4" w:space="0" w:color="D6D3CC"/>
          <w:right w:val="single" w:sz="4" w:space="0" w:color="D6D3CC"/>
          <w:insideH w:val="single" w:sz="4" w:space="0" w:color="D6D3CC"/>
          <w:insideV w:val="single" w:sz="4" w:space="0" w:color="D6D3CC"/>
        </w:tblBorders>
        <w:tblCellMar>
          <w:top w:w="70" w:type="dxa"/>
          <w:left w:w="110" w:type="dxa"/>
          <w:bottom w:w="70" w:type="dxa"/>
          <w:right w:w="110" w:type="dxa"/>
        </w:tblCellMar>
      </w:tblPr>
      <w:tblGrid>
        <w:gridCol w:w="4500"/>
        <w:gridCol w:w="4500"/>
      </w:tblGrid>
      <w:tr>
        <w:trPr>
          <w:cantSplit/>
        </w:trPr>
        <w:tc>
          <w:tcPr>
            <w:shd w:val="clear" w:color="auto" w:fill="F2F1EE"/>
            <w:tcW w:w="4500" w:type="dxa"/>
          </w:tcPr>
          <w:p>
            <w:pPr>
              <w:spacing w:before="0" w:after="0" w:line="264" w:lineRule="auto"/>
            </w:pPr>
            <w:r>
              <w:rPr>
                <w:sz w:val="19"/>
                <w:szCs w:val="19"/>
              </w:rPr>
              <w:t xml:space="preserve">Ort, Datum</w:t>
            </w:r>
          </w:p>
        </w:tc>
        <w:tc>
          <w:tcPr>
            <w:shd w:val="clear" w:color="auto" w:fill="F2F1EE"/>
            <w:tcW w:w="4500" w:type="dxa"/>
          </w:tcPr>
          <w:p>
            <w:pPr>
              <w:spacing w:before="0" w:after="0" w:line="264" w:lineRule="auto"/>
            </w:pPr>
            <w:r>
              <w:rPr>
                <w:sz w:val="19"/>
                <w:szCs w:val="19"/>
              </w:rPr>
              <w:t xml:space="preserve">Ort, Datum</w:t>
            </w:r>
          </w:p>
        </w:tc>
      </w:tr>
      <w:tr>
        <w:trPr>
          <w:cantSplit/>
        </w:trPr>
        <w:tc>
          <w:tcPr>
            <w:tcW w:w="4500" w:type="dxa"/>
          </w:tcPr>
          <w:p>
            <w:pPr>
              <w:spacing w:before="0" w:after="0" w:line="264" w:lineRule="auto"/>
            </w:pPr>
            <w:r>
              <w:rPr>
                <w:sz w:val="19"/>
                <w:szCs w:val="19"/>
              </w:rPr>
              <w:t xml:space="preserve">[Arbeitgeber / Dienststelle]</w:t>
            </w:r>
          </w:p>
        </w:tc>
        <w:tc>
          <w:tcPr>
            <w:tcW w:w="4500" w:type="dxa"/>
          </w:tcPr>
          <w:p>
            <w:pPr>
              <w:spacing w:before="0" w:after="0" w:line="264" w:lineRule="auto"/>
            </w:pPr>
            <w:r>
              <w:rPr>
                <w:sz w:val="19"/>
                <w:szCs w:val="19"/>
              </w:rPr>
              <w:t xml:space="preserve">[Betriebsrat / Personalrat]</w:t>
            </w:r>
          </w:p>
        </w:tc>
      </w:tr>
    </w:tbl>
    <w:p>
      <w:r>
        <w:br w:type="page"/>
      </w:r>
    </w:p>
    <w:p>
      <w:pPr>
        <w:keepNext/>
        <w:spacing w:before="300" w:after="100"/>
      </w:pPr>
      <w:r>
        <w:rPr>
          <w:b/>
          <w:bCs/>
          <w:sz w:val="24"/>
          <w:szCs w:val="24"/>
        </w:rPr>
        <w:t xml:space="preserve">Anlage 1: Freigegebene Apps</w:t>
      </w:r>
    </w:p>
    <w:tbl>
      <w:tblPr>
        <w:tblW w:w="5000" w:type="pct"/>
        <w:tblBorders/>
        <w:tblBorders>
          <w:top w:val="single" w:sz="4" w:space="0" w:color="D6D3CC"/>
          <w:left w:val="single" w:sz="4" w:space="0" w:color="D6D3CC"/>
          <w:bottom w:val="single" w:sz="4" w:space="0" w:color="D6D3CC"/>
          <w:right w:val="single" w:sz="4" w:space="0" w:color="D6D3CC"/>
          <w:insideH w:val="single" w:sz="4" w:space="0" w:color="D6D3CC"/>
          <w:insideV w:val="single" w:sz="4" w:space="0" w:color="D6D3CC"/>
        </w:tblBorders>
        <w:tblCellMar>
          <w:top w:w="70" w:type="dxa"/>
          <w:left w:w="110" w:type="dxa"/>
          <w:bottom w:w="70" w:type="dxa"/>
          <w:right w:w="110" w:type="dxa"/>
        </w:tblCellMar>
      </w:tblPr>
      <w:tblGrid>
        <w:gridCol w:w="1511"/>
        <w:gridCol w:w="1511"/>
        <w:gridCol w:w="1511"/>
        <w:gridCol w:w="1511"/>
        <w:gridCol w:w="1511"/>
        <w:gridCol w:w="1511"/>
      </w:tblGrid>
      <w:tr>
        <w:trPr>
          <w:cantSplit/>
        </w:trPr>
        <w:tc>
          <w:tcPr>
            <w:shd w:val="clear" w:color="auto" w:fill="F2F1EE"/>
            <w:tcW w:w="1511" w:type="dxa"/>
          </w:tcPr>
          <w:p>
            <w:pPr/>
            <w:r>
              <w:rPr>
                <w:b/>
                <w:bCs/>
                <w:sz w:val="19"/>
                <w:szCs w:val="19"/>
              </w:rPr>
              <w:t xml:space="preserve">App</w:t>
            </w:r>
          </w:p>
        </w:tc>
        <w:tc>
          <w:tcPr>
            <w:shd w:val="clear" w:color="auto" w:fill="F2F1EE"/>
            <w:tcW w:w="1511" w:type="dxa"/>
          </w:tcPr>
          <w:p>
            <w:pPr/>
            <w:r>
              <w:rPr>
                <w:b/>
                <w:bCs/>
                <w:sz w:val="19"/>
                <w:szCs w:val="19"/>
              </w:rPr>
              <w:t xml:space="preserve">Zweck</w:t>
            </w:r>
          </w:p>
        </w:tc>
        <w:tc>
          <w:tcPr>
            <w:shd w:val="clear" w:color="auto" w:fill="F2F1EE"/>
            <w:tcW w:w="1511" w:type="dxa"/>
          </w:tcPr>
          <w:p>
            <w:pPr/>
            <w:r>
              <w:rPr>
                <w:b/>
                <w:bCs/>
                <w:sz w:val="19"/>
                <w:szCs w:val="19"/>
              </w:rPr>
              <w:t xml:space="preserve">Gruppen</w:t>
            </w:r>
          </w:p>
        </w:tc>
        <w:tc>
          <w:tcPr>
            <w:shd w:val="clear" w:color="auto" w:fill="F2F1EE"/>
            <w:tcW w:w="1511" w:type="dxa"/>
          </w:tcPr>
          <w:p>
            <w:pPr/>
            <w:r>
              <w:rPr>
                <w:b/>
                <w:bCs/>
                <w:sz w:val="19"/>
                <w:szCs w:val="19"/>
              </w:rPr>
              <w:t xml:space="preserve">Datenarten</w:t>
            </w:r>
          </w:p>
        </w:tc>
        <w:tc>
          <w:tcPr>
            <w:shd w:val="clear" w:color="auto" w:fill="F2F1EE"/>
            <w:tcW w:w="1511" w:type="dxa"/>
          </w:tcPr>
          <w:p>
            <w:pPr/>
            <w:r>
              <w:rPr>
                <w:b/>
                <w:bCs/>
                <w:sz w:val="19"/>
                <w:szCs w:val="19"/>
              </w:rPr>
              <w:t xml:space="preserve">Verbindungen zu Systemen</w:t>
            </w:r>
          </w:p>
        </w:tc>
        <w:tc>
          <w:tcPr>
            <w:shd w:val="clear" w:color="auto" w:fill="F2F1EE"/>
            <w:tcW w:w="1511" w:type="dxa"/>
          </w:tcPr>
          <w:p>
            <w:pPr/>
            <w:r>
              <w:rPr>
                <w:b/>
                <w:bCs/>
                <w:sz w:val="19"/>
                <w:szCs w:val="19"/>
              </w:rPr>
              <w:t xml:space="preserve">Freigegeben am</w:t>
            </w:r>
          </w:p>
        </w:tc>
      </w:tr>
      <w:tr>
        <w:trPr>
          <w:cantSplit/>
        </w:trPr>
        <w:tc>
          <w:tcPr>
            <w:tcW w:w="1511" w:type="dxa"/>
          </w:tcPr>
          <w:p>
            <w:pPr/>
            <w:r>
              <w:rPr>
                <w:sz w:val="19"/>
                <w:szCs w:val="19"/>
              </w:rPr>
              <w:t xml:space="preserve">[Beispiel] Entwurf Entlassbrief</w:t>
            </w:r>
          </w:p>
        </w:tc>
        <w:tc>
          <w:tcPr>
            <w:tcW w:w="1511" w:type="dxa"/>
          </w:tcPr>
          <w:p>
            <w:pPr/>
            <w:r>
              <w:rPr>
                <w:sz w:val="19"/>
                <w:szCs w:val="19"/>
              </w:rPr>
              <w:t xml:space="preserve">Entwurf aus Befunden</w:t>
            </w:r>
          </w:p>
        </w:tc>
        <w:tc>
          <w:tcPr>
            <w:tcW w:w="1511" w:type="dxa"/>
          </w:tcPr>
          <w:p>
            <w:pPr/>
            <w:r>
              <w:rPr>
                <w:sz w:val="19"/>
                <w:szCs w:val="19"/>
              </w:rPr>
              <w:t xml:space="preserve">Ärztlicher Dienst, Station [ … ]</w:t>
            </w:r>
          </w:p>
        </w:tc>
        <w:tc>
          <w:tcPr>
            <w:tcW w:w="1511" w:type="dxa"/>
          </w:tcPr>
          <w:p>
            <w:pPr/>
            <w:r>
              <w:rPr>
                <w:sz w:val="19"/>
                <w:szCs w:val="19"/>
              </w:rPr>
              <w:t xml:space="preserve">Patientendaten</w:t>
            </w:r>
          </w:p>
        </w:tc>
        <w:tc>
          <w:tcPr>
            <w:tcW w:w="1511" w:type="dxa"/>
          </w:tcPr>
          <w:p>
            <w:pPr/>
            <w:r>
              <w:rPr>
                <w:sz w:val="19"/>
                <w:szCs w:val="19"/>
              </w:rPr>
              <w:t xml:space="preserve">[KIS, nur lesend]</w:t>
            </w:r>
          </w:p>
        </w:tc>
        <w:tc>
          <w:tcPr>
            <w:tcW w:w="1511" w:type="dxa"/>
          </w:tcPr>
          <w:p>
            <w:pPr/>
            <w:r>
              <w:rPr>
                <w:sz w:val="19"/>
                <w:szCs w:val="19"/>
              </w:rPr>
              <w:t xml:space="preserve">[Datum]</w:t>
            </w:r>
          </w:p>
        </w:tc>
      </w:tr>
      <w:tr>
        <w:trPr>
          <w:cantSplit/>
        </w:trPr>
        <w:tc>
          <w:tcPr>
            <w:tcW w:w="1511" w:type="dxa"/>
          </w:tcPr>
          <w:p>
            <w:pPr/>
            <w:r>
              <w:rPr>
                <w:sz w:val="19"/>
                <w:szCs w:val="19"/>
              </w:rPr>
              <w:t xml:space="preserve">[Beispiel] Suche in Leitlinien</w:t>
            </w:r>
          </w:p>
        </w:tc>
        <w:tc>
          <w:tcPr>
            <w:tcW w:w="1511" w:type="dxa"/>
          </w:tcPr>
          <w:p>
            <w:pPr/>
            <w:r>
              <w:rPr>
                <w:sz w:val="19"/>
                <w:szCs w:val="19"/>
              </w:rPr>
              <w:t xml:space="preserve">Antworten mit Quelle</w:t>
            </w:r>
          </w:p>
        </w:tc>
        <w:tc>
          <w:tcPr>
            <w:tcW w:w="1511" w:type="dxa"/>
          </w:tcPr>
          <w:p>
            <w:pPr/>
            <w:r>
              <w:rPr>
                <w:sz w:val="19"/>
                <w:szCs w:val="19"/>
              </w:rPr>
              <w:t xml:space="preserve">Alle Beschäftigten</w:t>
            </w:r>
          </w:p>
        </w:tc>
        <w:tc>
          <w:tcPr>
            <w:tcW w:w="1511" w:type="dxa"/>
          </w:tcPr>
          <w:p>
            <w:pPr/>
            <w:r>
              <w:rPr>
                <w:sz w:val="19"/>
                <w:szCs w:val="19"/>
              </w:rPr>
              <w:t xml:space="preserve">keine personenbezogenen Daten</w:t>
            </w:r>
          </w:p>
        </w:tc>
        <w:tc>
          <w:tcPr>
            <w:tcW w:w="1511" w:type="dxa"/>
          </w:tcPr>
          <w:p>
            <w:pPr/>
            <w:r>
              <w:rPr>
                <w:sz w:val="19"/>
                <w:szCs w:val="19"/>
              </w:rPr>
              <w:t xml:space="preserve">[Dokumentenablage]</w:t>
            </w:r>
          </w:p>
        </w:tc>
        <w:tc>
          <w:tcPr>
            <w:tcW w:w="1511" w:type="dxa"/>
          </w:tcPr>
          <w:p>
            <w:pPr/>
            <w:r>
              <w:rPr>
                <w:sz w:val="19"/>
                <w:szCs w:val="19"/>
              </w:rPr>
              <w:t xml:space="preserve">[Datum]</w:t>
            </w:r>
          </w:p>
        </w:tc>
      </w:tr>
      <w:tr>
        <w:trPr>
          <w:cantSplit/>
        </w:trPr>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r>
      <w:tr>
        <w:trPr>
          <w:cantSplit/>
        </w:trPr>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c>
          <w:tcPr>
            <w:tcW w:w="1511" w:type="dxa"/>
          </w:tcPr>
          <w:p>
            <w:pPr/>
            <w:r>
              <w:rPr>
                <w:sz w:val="19"/>
                <w:szCs w:val="19"/>
              </w:rPr>
              <w:t xml:space="preserve"/>
            </w:r>
          </w:p>
        </w:tc>
      </w:tr>
    </w:tbl>
    <w:p>
      <w:pPr>
        <w:spacing w:after="120"/>
      </w:pPr>
    </w:p>
    <w:p>
      <w:pPr>
        <w:keepNext/>
        <w:spacing w:before="300" w:after="100"/>
      </w:pPr>
      <w:r>
        <w:rPr>
          <w:b/>
          <w:bCs/>
          <w:sz w:val="24"/>
          <w:szCs w:val="24"/>
        </w:rPr>
        <w:t xml:space="preserve">Anlage 2: Protokolleinstellungen</w:t>
      </w:r>
    </w:p>
    <w:tbl>
      <w:tblPr>
        <w:tblW w:w="5000" w:type="pct"/>
        <w:tblBorders/>
        <w:tblBorders>
          <w:top w:val="single" w:sz="4" w:space="0" w:color="D6D3CC"/>
          <w:left w:val="single" w:sz="4" w:space="0" w:color="D6D3CC"/>
          <w:bottom w:val="single" w:sz="4" w:space="0" w:color="D6D3CC"/>
          <w:right w:val="single" w:sz="4" w:space="0" w:color="D6D3CC"/>
          <w:insideH w:val="single" w:sz="4" w:space="0" w:color="D6D3CC"/>
          <w:insideV w:val="single" w:sz="4" w:space="0" w:color="D6D3CC"/>
        </w:tblBorders>
        <w:tblCellMar>
          <w:top w:w="70" w:type="dxa"/>
          <w:left w:w="110" w:type="dxa"/>
          <w:bottom w:w="70" w:type="dxa"/>
          <w:right w:w="110" w:type="dxa"/>
        </w:tblCellMar>
      </w:tblPr>
      <w:tblGrid>
        <w:gridCol w:w="4535"/>
        <w:gridCol w:w="4535"/>
      </w:tblGrid>
      <w:tr>
        <w:trPr>
          <w:cantSplit/>
        </w:trPr>
        <w:tc>
          <w:tcPr>
            <w:shd w:val="clear" w:color="auto" w:fill="F2F1EE"/>
            <w:tcW w:w="4535" w:type="dxa"/>
          </w:tcPr>
          <w:p>
            <w:pPr/>
            <w:r>
              <w:rPr>
                <w:b/>
                <w:bCs/>
                <w:sz w:val="19"/>
                <w:szCs w:val="19"/>
              </w:rPr>
              <w:t xml:space="preserve">Einstellung</w:t>
            </w:r>
          </w:p>
        </w:tc>
        <w:tc>
          <w:tcPr>
            <w:shd w:val="clear" w:color="auto" w:fill="F2F1EE"/>
            <w:tcW w:w="4535" w:type="dxa"/>
          </w:tcPr>
          <w:p>
            <w:pPr/>
            <w:r>
              <w:rPr>
                <w:b/>
                <w:bCs/>
                <w:sz w:val="19"/>
                <w:szCs w:val="19"/>
              </w:rPr>
              <w:t xml:space="preserve">Festlegung</w:t>
            </w:r>
          </w:p>
        </w:tc>
      </w:tr>
      <w:tr>
        <w:trPr>
          <w:cantSplit/>
        </w:trPr>
        <w:tc>
          <w:tcPr>
            <w:tcW w:w="4535" w:type="dxa"/>
          </w:tcPr>
          <w:p>
            <w:pPr/>
            <w:r>
              <w:rPr>
                <w:sz w:val="19"/>
                <w:szCs w:val="19"/>
              </w:rPr>
              <w:t xml:space="preserve">Audit-Log (Kennung, Zeitpunkt, App, Verbindung)</w:t>
            </w:r>
          </w:p>
        </w:tc>
        <w:tc>
          <w:tcPr>
            <w:tcW w:w="4535" w:type="dxa"/>
          </w:tcPr>
          <w:p>
            <w:pPr/>
            <w:r>
              <w:rPr>
                <w:sz w:val="19"/>
                <w:szCs w:val="19"/>
              </w:rPr>
              <w:t xml:space="preserve">Ein (immer)</w:t>
            </w:r>
          </w:p>
        </w:tc>
      </w:tr>
      <w:tr>
        <w:trPr>
          <w:cantSplit/>
        </w:trPr>
        <w:tc>
          <w:tcPr>
            <w:tcW w:w="4535" w:type="dxa"/>
          </w:tcPr>
          <w:p>
            <w:pPr/>
            <w:r>
              <w:rPr>
                <w:sz w:val="19"/>
                <w:szCs w:val="19"/>
              </w:rPr>
              <w:t xml:space="preserve">Inhalte von Fragen und Antworten</w:t>
            </w:r>
          </w:p>
        </w:tc>
        <w:tc>
          <w:tcPr>
            <w:tcW w:w="4535" w:type="dxa"/>
          </w:tcPr>
          <w:p>
            <w:pPr/>
            <w:r>
              <w:rPr>
                <w:sz w:val="19"/>
                <w:szCs w:val="19"/>
              </w:rPr>
              <w:t xml:space="preserve">[Aus / Ein für: … ]</w:t>
            </w:r>
          </w:p>
        </w:tc>
      </w:tr>
      <w:tr>
        <w:trPr>
          <w:cantSplit/>
        </w:trPr>
        <w:tc>
          <w:tcPr>
            <w:tcW w:w="4535" w:type="dxa"/>
          </w:tcPr>
          <w:p>
            <w:pPr/>
            <w:r>
              <w:rPr>
                <w:sz w:val="19"/>
                <w:szCs w:val="19"/>
              </w:rPr>
              <w:t xml:space="preserve">Aufbewahrungsdauer</w:t>
            </w:r>
          </w:p>
        </w:tc>
        <w:tc>
          <w:tcPr>
            <w:tcW w:w="4535" w:type="dxa"/>
          </w:tcPr>
          <w:p>
            <w:pPr/>
            <w:r>
              <w:rPr>
                <w:sz w:val="19"/>
                <w:szCs w:val="19"/>
              </w:rPr>
              <w:t xml:space="preserve">[6 Monate]</w:t>
            </w:r>
          </w:p>
        </w:tc>
      </w:tr>
      <w:tr>
        <w:trPr>
          <w:cantSplit/>
        </w:trPr>
        <w:tc>
          <w:tcPr>
            <w:tcW w:w="4535" w:type="dxa"/>
          </w:tcPr>
          <w:p>
            <w:pPr/>
            <w:r>
              <w:rPr>
                <w:sz w:val="19"/>
                <w:szCs w:val="19"/>
              </w:rPr>
              <w:t xml:space="preserve">Zugriff auf das Audit-Log</w:t>
            </w:r>
          </w:p>
        </w:tc>
        <w:tc>
          <w:tcPr>
            <w:tcW w:w="4535" w:type="dxa"/>
          </w:tcPr>
          <w:p>
            <w:pPr/>
            <w:r>
              <w:rPr>
                <w:sz w:val="19"/>
                <w:szCs w:val="19"/>
              </w:rPr>
              <w:t xml:space="preserve">[Rollen / Personen]</w:t>
            </w:r>
          </w:p>
        </w:tc>
      </w:tr>
      <w:tr>
        <w:trPr>
          <w:cantSplit/>
        </w:trPr>
        <w:tc>
          <w:tcPr>
            <w:tcW w:w="4535" w:type="dxa"/>
          </w:tcPr>
          <w:p>
            <w:pPr/>
            <w:r>
              <w:rPr>
                <w:sz w:val="19"/>
                <w:szCs w:val="19"/>
              </w:rPr>
              <w:t xml:space="preserve">Websuche</w:t>
            </w:r>
          </w:p>
        </w:tc>
        <w:tc>
          <w:tcPr>
            <w:tcW w:w="4535" w:type="dxa"/>
          </w:tcPr>
          <w:p>
            <w:pPr/>
            <w:r>
              <w:rPr>
                <w:sz w:val="19"/>
                <w:szCs w:val="19"/>
              </w:rPr>
              <w:t xml:space="preserve">[Aus / Ein für: … ]</w:t>
            </w:r>
          </w:p>
        </w:tc>
      </w:tr>
      <w:tr>
        <w:trPr>
          <w:cantSplit/>
        </w:trPr>
        <w:tc>
          <w:tcPr>
            <w:tcW w:w="4535" w:type="dxa"/>
          </w:tcPr>
          <w:p>
            <w:pPr/>
            <w:r>
              <w:rPr>
                <w:sz w:val="19"/>
                <w:szCs w:val="19"/>
              </w:rPr>
              <w:t xml:space="preserve">App mit externem Modell</w:t>
            </w:r>
          </w:p>
        </w:tc>
        <w:tc>
          <w:tcPr>
            <w:tcW w:w="4535" w:type="dxa"/>
          </w:tcPr>
          <w:p>
            <w:pPr/>
            <w:r>
              <w:rPr>
                <w:sz w:val="19"/>
                <w:szCs w:val="19"/>
              </w:rPr>
              <w:t xml:space="preserve">[Aus / Ein für: … ]</w:t>
            </w:r>
          </w:p>
        </w:tc>
      </w:tr>
    </w:tbl>
    <w:p>
      <w:pPr>
        <w:spacing w:after="120"/>
      </w:pPr>
    </w:p>
    <w:p>
      <w:pPr>
        <w:shd w:val="clear" w:color="auto" w:fill="F4F4F4"/>
        <w:spacing w:before="60" w:after="160"/>
        <w:ind w:left="120" w:right="120"/>
      </w:pPr>
      <w:r>
        <w:rPr>
          <w:color w:val="404040"/>
          <w:sz w:val="19"/>
          <w:szCs w:val="19"/>
        </w:rPr>
        <w:t xml:space="preserve">Dieser Entwurf ist eine unverbindliche Hilfe von basebox. Maßgeblich ist allein die Vereinbarung, die Sie mit Ihrem Betriebs- oder Personalrat schließen. Fragen zur KI-Plattform: datenschutz@basebox.ai</w:t>
      </w:r>
    </w:p>
    <w:sectPr w:rsidR="005B696E">
      <w:headerReference w:type="default" r:id="rIdBbH1"/>
      <w:footerReference w:type="even" r:id="rIdBbF1"/>
      <w:footerReference w:type="default" r:id="rIdBbF2"/>
      <w:pgSz w:w="11906" w:h="16838"/>
      <w:pgMar w:top="1417" w:right="1417" w:bottom="1134" w:left="1417" w:header="708" w:footer="12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10604695"/>
      <w:docPartObj>
        <w:docPartGallery w:val="Page Numbers (Bottom of Page)"/>
        <w:docPartUnique/>
      </w:docPartObj>
    </w:sdtPr>
    <w:sdtContent>
      <w:p w14:paraId="0358FC2E" w14:textId="77777777" w:rsidR="00FE4711" w:rsidRDefault="0001412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7CF1EF2" w14:textId="77777777" w:rsidR="00FE4711" w:rsidRDefault="00FE471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05460F" w14:textId="1EB9ACAD" w:rsidR="00FE4711" w:rsidRDefault="009C7682">
    <w:pPr>
      <w:pStyle w:val="Fuzeile"/>
      <w:rPr>
        <w:color w:val="808080"/>
      </w:rPr>
    </w:pPr>
    <w:r>
      <w:rPr>
        <w:noProof/>
        <w:color w:val="808080" w:themeColor="background1" w:themeShade="80"/>
      </w:rPr>
      <mc:AlternateContent>
        <mc:Choice Requires="wps">
          <w:drawing>
            <wp:anchor distT="0" distB="0" distL="114300" distR="114300" simplePos="0" relativeHeight="251659264" behindDoc="0" locked="0" layoutInCell="1" allowOverlap="1" wp14:anchorId="542232CD" wp14:editId="3F03C707">
              <wp:simplePos x="0" y="0"/>
              <wp:positionH relativeFrom="column">
                <wp:posOffset>0</wp:posOffset>
              </wp:positionH>
              <wp:positionV relativeFrom="paragraph">
                <wp:posOffset>5715</wp:posOffset>
              </wp:positionV>
              <wp:extent cx="1142795" cy="711200"/>
              <wp:effectExtent l="0" t="0" r="635" b="0"/>
              <wp:wrapNone/>
              <wp:docPr id="5" name="Textfeld 2"/>
              <wp:cNvGraphicFramePr/>
              <a:graphic xmlns:a="http://schemas.openxmlformats.org/drawingml/2006/main">
                <a:graphicData uri="http://schemas.microsoft.com/office/word/2010/wordprocessingShape">
                  <wps:wsp>
                    <wps:cNvSpPr/>
                    <wps:spPr bwMode="auto">
                      <a:xfrm>
                        <a:off x="0" y="0"/>
                        <a:ext cx="1142795" cy="711200"/>
                      </a:xfrm>
                      <a:prstGeom prst="rect">
                        <a:avLst/>
                      </a:prstGeom>
                      <a:solidFill>
                        <a:schemeClr val="lt1"/>
                      </a:solidFill>
                      <a:ln w="6350">
                        <a:noFill/>
                      </a:ln>
                    </wps:spPr>
                    <wps:txb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232CD" id="Textfeld 2" o:spid="_x0000_s1026" style="position:absolute;margin-left:0;margin-top:.45pt;width:90pt;height: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" fillcolor="white [3201]" stroked="f" strokeweight=".5pt">
              <v:textbox>
                <w:txbxContent>
                  <w:p w14:paraId="75908EFD"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basebox</w:t>
                    </w:r>
                    <w:proofErr w:type="spellEnd"/>
                    <w:r w:rsidRPr="005627D1">
                      <w:rPr>
                        <w:rFonts w:ascii="Inter Light" w:hAnsi="Inter Light"/>
                        <w:color w:val="3AB2FF"/>
                        <w:sz w:val="14"/>
                        <w:szCs w:val="14"/>
                        <w:lang w:val="en-US"/>
                      </w:rPr>
                      <w:t xml:space="preserve"> GmbH</w:t>
                    </w:r>
                  </w:p>
                  <w:p w14:paraId="45CA6E94"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info@basebox.ai</w:t>
                    </w:r>
                  </w:p>
                  <w:p w14:paraId="0201088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www.basebox.ai</w:t>
                    </w:r>
                  </w:p>
                </w:txbxContent>
              </v:textbox>
            </v:rect>
          </w:pict>
        </mc:Fallback>
      </mc:AlternateContent>
    </w:r>
    <w:r>
      <w:rPr>
        <w:noProof/>
        <w:color w:val="808080" w:themeColor="background1" w:themeShade="80"/>
      </w:rPr>
      <mc:AlternateContent>
        <mc:Choice Requires="wps">
          <w:drawing>
            <wp:anchor distT="0" distB="0" distL="114300" distR="114300" simplePos="0" relativeHeight="251660288" behindDoc="0" locked="0" layoutInCell="1" allowOverlap="1" wp14:anchorId="0EF7283E" wp14:editId="3ACF9E0D">
              <wp:simplePos x="0" y="0"/>
              <wp:positionH relativeFrom="column">
                <wp:posOffset>2984500</wp:posOffset>
              </wp:positionH>
              <wp:positionV relativeFrom="paragraph">
                <wp:posOffset>36195</wp:posOffset>
              </wp:positionV>
              <wp:extent cx="1676400" cy="711200"/>
              <wp:effectExtent l="0" t="0" r="0" b="0"/>
              <wp:wrapNone/>
              <wp:docPr id="3" name="Textfeld 3"/>
              <wp:cNvGraphicFramePr/>
              <a:graphic xmlns:a="http://schemas.openxmlformats.org/drawingml/2006/main">
                <a:graphicData uri="http://schemas.microsoft.com/office/word/2010/wordprocessingShape">
                  <wps:wsp>
                    <wps:cNvSpPr/>
                    <wps:spPr bwMode="auto">
                      <a:xfrm>
                        <a:off x="0" y="0"/>
                        <a:ext cx="1676400" cy="711200"/>
                      </a:xfrm>
                      <a:prstGeom prst="rect">
                        <a:avLst/>
                      </a:prstGeom>
                      <a:solidFill>
                        <a:schemeClr val="lt1"/>
                      </a:solidFill>
                      <a:ln w="6350">
                        <a:noFill/>
                      </a:ln>
                    </wps:spPr>
                    <wps:txb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7283E" id="Textfeld 3" o:spid="_x0000_s1027" style="position:absolute;margin-left:235pt;margin-top:2.85pt;width:132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" fillcolor="white [3201]" stroked="f" strokeweight=".5pt">
              <v:textbox>
                <w:txbxContent>
                  <w:p w14:paraId="7CB1A218" w14:textId="77777777" w:rsidR="009C7682" w:rsidRPr="005627D1" w:rsidRDefault="009C7682" w:rsidP="009C7682">
                    <w:pPr>
                      <w:spacing w:line="276" w:lineRule="auto"/>
                      <w:rPr>
                        <w:rFonts w:ascii="Inter Light" w:hAnsi="Inter Light"/>
                        <w:color w:val="3AB2FF"/>
                        <w:sz w:val="14"/>
                        <w:szCs w:val="14"/>
                        <w:lang w:val="en-US"/>
                      </w:rPr>
                    </w:pPr>
                    <w:proofErr w:type="spellStart"/>
                    <w:r w:rsidRPr="005627D1">
                      <w:rPr>
                        <w:rFonts w:ascii="Inter Light" w:hAnsi="Inter Light"/>
                        <w:color w:val="3AB2FF"/>
                        <w:sz w:val="14"/>
                        <w:szCs w:val="14"/>
                        <w:lang w:val="en-US"/>
                      </w:rPr>
                      <w:t>Bahnhofplatz</w:t>
                    </w:r>
                    <w:proofErr w:type="spellEnd"/>
                    <w:r w:rsidRPr="005627D1">
                      <w:rPr>
                        <w:rFonts w:ascii="Inter Light" w:hAnsi="Inter Light"/>
                        <w:color w:val="3AB2FF"/>
                        <w:sz w:val="14"/>
                        <w:szCs w:val="14"/>
                        <w:lang w:val="en-US"/>
                      </w:rPr>
                      <w:t xml:space="preserve"> 3</w:t>
                    </w:r>
                  </w:p>
                  <w:p w14:paraId="45A47E9D"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 xml:space="preserve">86919 Utting am </w:t>
                    </w:r>
                    <w:proofErr w:type="spellStart"/>
                    <w:r w:rsidRPr="005627D1">
                      <w:rPr>
                        <w:rFonts w:ascii="Inter Light" w:hAnsi="Inter Light"/>
                        <w:color w:val="3AB2FF"/>
                        <w:sz w:val="14"/>
                        <w:szCs w:val="14"/>
                        <w:lang w:val="en-US"/>
                      </w:rPr>
                      <w:t>Ammersee</w:t>
                    </w:r>
                    <w:proofErr w:type="spellEnd"/>
                  </w:p>
                  <w:p w14:paraId="529A1C3C"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+49 8806 9590600</w:t>
                    </w:r>
                  </w:p>
                </w:txbxContent>
              </v:textbox>
            </v:rect>
          </w:pict>
        </mc:Fallback>
      </mc:AlternateContent>
    </w:r>
    <w:r>
      <w:rPr>
        <w:noProof/>
        <w:color w:val="808080" w:themeColor="background1" w:themeShade="80"/>
      </w:rPr>
      <mc:AlternateContent>
        <mc:Choice Requires="wps">
          <w:drawing>
            <wp:anchor distT="0" distB="0" distL="114300" distR="114300" simplePos="0" relativeHeight="251661312" behindDoc="0" locked="0" layoutInCell="1" allowOverlap="1" wp14:anchorId="49EF3628" wp14:editId="78FD89C6">
              <wp:simplePos x="0" y="0"/>
              <wp:positionH relativeFrom="column">
                <wp:posOffset>1181100</wp:posOffset>
              </wp:positionH>
              <wp:positionV relativeFrom="paragraph">
                <wp:posOffset>5715</wp:posOffset>
              </wp:positionV>
              <wp:extent cx="1803400" cy="711200"/>
              <wp:effectExtent l="0" t="0" r="0" b="0"/>
              <wp:wrapNone/>
              <wp:docPr id="2" name="Textfeld 4"/>
              <wp:cNvGraphicFramePr/>
              <a:graphic xmlns:a="http://schemas.openxmlformats.org/drawingml/2006/main">
                <a:graphicData uri="http://schemas.microsoft.com/office/word/2010/wordprocessingShape">
                  <wps:wsp>
                    <wps:cNvSpPr/>
                    <wps:spPr bwMode="auto">
                      <a:xfrm>
                        <a:off x="0" y="0"/>
                        <a:ext cx="1803400" cy="711200"/>
                      </a:xfrm>
                      <a:prstGeom prst="rect">
                        <a:avLst/>
                      </a:prstGeom>
                      <a:solidFill>
                        <a:schemeClr val="lt1"/>
                      </a:solidFill>
                      <a:ln w="6350">
                        <a:noFill/>
                      </a:ln>
                    </wps:spPr>
                    <wps:txb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EF3628" id="Textfeld 4" o:spid="_x0000_s1028" style="position:absolute;margin-left:93pt;margin-top:.45pt;width:142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" fillcolor="white [3201]" stroked="f" strokeweight=".5pt">
              <v:textbox>
                <w:txbxContent>
                  <w:p w14:paraId="35A1B647"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Geschäftsführer</w:t>
                    </w:r>
                  </w:p>
                  <w:p w14:paraId="17DA8143"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René Herzer</w:t>
                    </w:r>
                  </w:p>
                  <w:p w14:paraId="349D950C"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HRB37614 Amtsgericht Augsburg</w:t>
                    </w:r>
                  </w:p>
                  <w:p w14:paraId="1C6BBF8F"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USt-</w:t>
                    </w:r>
                    <w:proofErr w:type="spellStart"/>
                    <w:r w:rsidRPr="005627D1">
                      <w:rPr>
                        <w:rFonts w:ascii="Inter Light" w:hAnsi="Inter Light"/>
                        <w:color w:val="3AB2FF"/>
                        <w:sz w:val="14"/>
                        <w:szCs w:val="14"/>
                      </w:rPr>
                      <w:t>IdNr</w:t>
                    </w:r>
                    <w:proofErr w:type="spellEnd"/>
                    <w:r w:rsidRPr="005627D1">
                      <w:rPr>
                        <w:rFonts w:ascii="Inter Light" w:hAnsi="Inter Light"/>
                        <w:color w:val="3AB2FF"/>
                        <w:sz w:val="14"/>
                        <w:szCs w:val="14"/>
                      </w:rPr>
                      <w:t>. DE 354674574</w:t>
                    </w:r>
                  </w:p>
                </w:txbxContent>
              </v:textbox>
            </v:rect>
          </w:pict>
        </mc:Fallback>
      </mc:AlternateContent>
    </w:r>
    <w:r>
      <w:rPr>
        <w:noProof/>
        <w:color w:val="808080" w:themeColor="background1" w:themeShade="80"/>
      </w:rPr>
      <mc:AlternateContent>
        <mc:Choice Requires="wps">
          <w:drawing>
            <wp:anchor distT="0" distB="0" distL="114300" distR="114300" simplePos="0" relativeHeight="251662336" behindDoc="0" locked="0" layoutInCell="1" allowOverlap="1" wp14:anchorId="319B6AB0" wp14:editId="3258C239">
              <wp:simplePos x="0" y="0"/>
              <wp:positionH relativeFrom="column">
                <wp:posOffset>4703445</wp:posOffset>
              </wp:positionH>
              <wp:positionV relativeFrom="paragraph">
                <wp:posOffset>-635</wp:posOffset>
              </wp:positionV>
              <wp:extent cx="1804252" cy="786765"/>
              <wp:effectExtent l="0" t="0" r="0" b="635"/>
              <wp:wrapNone/>
              <wp:docPr id="4" name="Textfeld 10"/>
              <wp:cNvGraphicFramePr/>
              <a:graphic xmlns:a="http://schemas.openxmlformats.org/drawingml/2006/main">
                <a:graphicData uri="http://schemas.microsoft.com/office/word/2010/wordprocessingShape">
                  <wps:wsp>
                    <wps:cNvSpPr/>
                    <wps:spPr bwMode="auto">
                      <a:xfrm>
                        <a:off x="0" y="0"/>
                        <a:ext cx="1804252" cy="786765"/>
                      </a:xfrm>
                      <a:prstGeom prst="rect">
                        <a:avLst/>
                      </a:prstGeom>
                      <a:solidFill>
                        <a:schemeClr val="lt1"/>
                      </a:solidFill>
                      <a:ln w="6350">
                        <a:noFill/>
                      </a:ln>
                    </wps:spPr>
                    <wps:txb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B6AB0" id="Textfeld 10" o:spid="_x0000_s1029" style="position:absolute;margin-left:370.35pt;margin-top:-.05pt;width:142.05pt;height:6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" fillcolor="white [3201]" stroked="f" strokeweight=".5pt">
              <v:textbox>
                <w:txbxContent>
                  <w:p w14:paraId="66836A11"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Sparkasse Landsberg-</w:t>
                    </w:r>
                    <w:proofErr w:type="spellStart"/>
                    <w:r w:rsidRPr="005627D1">
                      <w:rPr>
                        <w:rFonts w:ascii="Inter Light" w:hAnsi="Inter Light"/>
                        <w:color w:val="3AB2FF"/>
                        <w:sz w:val="14"/>
                        <w:szCs w:val="14"/>
                      </w:rPr>
                      <w:t>Diessen</w:t>
                    </w:r>
                    <w:proofErr w:type="spellEnd"/>
                  </w:p>
                  <w:p w14:paraId="5A8902FD" w14:textId="77777777" w:rsidR="009C7682" w:rsidRPr="005627D1" w:rsidRDefault="009C7682" w:rsidP="009C7682">
                    <w:pPr>
                      <w:spacing w:line="276" w:lineRule="auto"/>
                      <w:rPr>
                        <w:rFonts w:ascii="Inter Light" w:hAnsi="Inter Light"/>
                        <w:color w:val="3AB2FF"/>
                        <w:sz w:val="14"/>
                        <w:szCs w:val="14"/>
                      </w:rPr>
                    </w:pPr>
                    <w:r w:rsidRPr="005627D1">
                      <w:rPr>
                        <w:rFonts w:ascii="Inter Light" w:hAnsi="Inter Light"/>
                        <w:color w:val="3AB2FF"/>
                        <w:sz w:val="14"/>
                        <w:szCs w:val="14"/>
                      </w:rPr>
                      <w:t>IBAN: DE75 7005 2060 0022 7477 29</w:t>
                    </w:r>
                  </w:p>
                  <w:p w14:paraId="55448491" w14:textId="77777777" w:rsidR="009C7682" w:rsidRPr="005627D1" w:rsidRDefault="009C7682" w:rsidP="009C7682">
                    <w:pPr>
                      <w:spacing w:line="276" w:lineRule="auto"/>
                      <w:rPr>
                        <w:rFonts w:ascii="Inter Light" w:hAnsi="Inter Light"/>
                        <w:color w:val="3AB2FF"/>
                        <w:sz w:val="14"/>
                        <w:szCs w:val="14"/>
                        <w:lang w:val="en-US"/>
                      </w:rPr>
                    </w:pPr>
                    <w:r w:rsidRPr="005627D1">
                      <w:rPr>
                        <w:rFonts w:ascii="Inter Light" w:hAnsi="Inter Light"/>
                        <w:color w:val="3AB2FF"/>
                        <w:sz w:val="14"/>
                        <w:szCs w:val="14"/>
                        <w:lang w:val="en-US"/>
                      </w:rPr>
                      <w:t>BIC: BYLADEM1LLD</w:t>
                    </w:r>
                  </w:p>
                </w:txbxContent>
              </v:textbox>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463F23" w14:textId="77777777" w:rsidR="00FE4711" w:rsidRDefault="00FE4711">
    <w:pPr>
      <w:pStyle w:val="Kopfzeile"/>
    </w:pPr>
  </w:p>
  <w:p w14:paraId="2EF10D17" w14:textId="77777777" w:rsidR="00FE4711" w:rsidRDefault="003D60DB">
    <w:pPr>
      <w:pStyle w:val="Kopfzeile"/>
    </w:pPr>
    <w:r>
      <w:rPr>
        <w:noProof/>
      </w:rPr>
      <w:drawing>
        <wp:inline distT="0" distB="0" distL="0" distR="0" wp14:anchorId="1A16169F" wp14:editId="5C6E80F7">
          <wp:extent cx="1409700" cy="267738"/>
          <wp:effectExtent l="0" t="0" r="0" b="0"/>
          <wp:docPr id="73143903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29123" name="Grafik 2097529123"/>
                  <pic:cNvPicPr/>
                </pic:nvPicPr>
                <pic:blipFill>
                  <a:blip r:embed="rId1">
                    <a:extLst>
                      <a:ext uri="{28A0092B-C50C-407E-A947-70E740481C1C}">
                        <a14:useLocalDpi xmlns:a14="http://schemas.microsoft.com/office/drawing/2010/main" val="0"/>
                      </a:ext>
                    </a:extLst>
                  </a:blip>
                  <a:stretch>
                    <a:fillRect/>
                  </a:stretch>
                </pic:blipFill>
                <pic:spPr>
                  <a:xfrm>
                    <a:off x="0" y="0"/>
                    <a:ext cx="1549839" cy="294354"/>
                  </a:xfrm>
                  <a:prstGeom prst="rect">
                    <a:avLst/>
                  </a:prstGeom>
                </pic:spPr>
              </pic:pic>
            </a:graphicData>
          </a:graphic>
        </wp:inline>
      </w:drawing>
    </w:r>
  </w:p>
  <w:p w14:paraId="5C138FA7" w14:textId="46AE9F27" w:rsidR="00FE4711" w:rsidRDefault="007E46CC" w:rsidP="00041B34">
    <w:pPr>
      <w:rPr>
        <w:sz w:val="19"/>
        <w:szCs w:val="19"/>
      </w:rPr>
    </w:pPr>
    <w:r w:rsidRPr="009C7682">
      <w:rPr>
        <w:sz w:val="19"/>
        <w:szCs w:val="19"/>
      </w:rPr>
      <w:t xml:space="preserve">      </w:t>
    </w:r>
    <w:r w:rsidR="009C7682">
      <w:rPr>
        <w:sz w:val="19"/>
        <w:szCs w:val="19"/>
      </w:rPr>
      <w:t xml:space="preserve"> </w:t>
    </w:r>
    <w:r w:rsidRPr="009C7682">
      <w:rPr>
        <w:sz w:val="19"/>
        <w:szCs w:val="19"/>
      </w:rPr>
      <w:t xml:space="preserve">   </w:t>
    </w:r>
    <w:r w:rsidR="00041B34">
      <w:rPr>
        <w:sz w:val="19"/>
        <w:szCs w:val="19"/>
      </w:rPr>
      <w:t xml:space="preserve">KI-Plattform</w:t>
    </w:r>
    <w:proofErr w:type="spellStart"/>
    <w:r w:rsidR="00041B34">
      <w:rPr>
        <w:sz w:val="19"/>
        <w:szCs w:val="19"/>
      </w:rPr>
      <w:t/>
    </w:r>
    <w:proofErr w:type="spellEnd"/>
  </w:p>
  <w:p w14:paraId="41576FB2" w14:textId="77777777" w:rsidR="00041B34" w:rsidRDefault="00041B34" w:rsidP="00041B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110270"/>
    <w:multiLevelType w:val="hybridMultilevel"/>
    <w:tmpl w:val="7E54FD5A"/>
    <w:lvl w:ilvl="0" w:tplc="2B3E4A08">
      <w:start w:val="1"/>
      <w:numFmt w:val="bullet"/>
      <w:lvlText w:val="●"/>
      <w:lvlJc w:val="left"/>
      <w:pPr>
        <w:ind w:left="720" w:hanging="360"/>
      </w:pPr>
    </w:lvl>
    <w:lvl w:ilvl="1" w:tplc="9A52A1EA">
      <w:start w:val="1"/>
      <w:numFmt w:val="bullet"/>
      <w:lvlText w:val="○"/>
      <w:lvlJc w:val="left"/>
      <w:pPr>
        <w:ind w:left="1440" w:hanging="360"/>
      </w:pPr>
    </w:lvl>
    <w:lvl w:ilvl="2" w:tplc="2BE8D968">
      <w:start w:val="1"/>
      <w:numFmt w:val="bullet"/>
      <w:lvlText w:val="■"/>
      <w:lvlJc w:val="left"/>
      <w:pPr>
        <w:ind w:left="2160" w:hanging="360"/>
      </w:pPr>
    </w:lvl>
    <w:lvl w:ilvl="3" w:tplc="11F2D044">
      <w:start w:val="1"/>
      <w:numFmt w:val="bullet"/>
      <w:lvlText w:val="●"/>
      <w:lvlJc w:val="left"/>
      <w:pPr>
        <w:ind w:left="2880" w:hanging="360"/>
      </w:pPr>
    </w:lvl>
    <w:lvl w:ilvl="4" w:tplc="79A664B6">
      <w:start w:val="1"/>
      <w:numFmt w:val="bullet"/>
      <w:lvlText w:val="○"/>
      <w:lvlJc w:val="left"/>
      <w:pPr>
        <w:ind w:left="3600" w:hanging="360"/>
      </w:pPr>
    </w:lvl>
    <w:lvl w:ilvl="5" w:tplc="1DA6C72E">
      <w:start w:val="1"/>
      <w:numFmt w:val="bullet"/>
      <w:lvlText w:val="■"/>
      <w:lvlJc w:val="left"/>
      <w:pPr>
        <w:ind w:left="4320" w:hanging="360"/>
      </w:pPr>
    </w:lvl>
    <w:lvl w:ilvl="6" w:tplc="D9261AF8">
      <w:start w:val="1"/>
      <w:numFmt w:val="bullet"/>
      <w:lvlText w:val="●"/>
      <w:lvlJc w:val="left"/>
      <w:pPr>
        <w:ind w:left="5040" w:hanging="360"/>
      </w:pPr>
    </w:lvl>
    <w:lvl w:ilvl="7" w:tplc="F8C6812C">
      <w:start w:val="1"/>
      <w:numFmt w:val="bullet"/>
      <w:lvlText w:val="●"/>
      <w:lvlJc w:val="left"/>
      <w:pPr>
        <w:ind w:left="5760" w:hanging="360"/>
      </w:pPr>
    </w:lvl>
    <w:lvl w:ilvl="8" w:tplc="0014603E">
      <w:start w:val="1"/>
      <w:numFmt w:val="bullet"/>
      <w:lvlText w:val="●"/>
      <w:lvlJc w:val="left"/>
      <w:pPr>
        <w:ind w:left="6480" w:hanging="360"/>
      </w:pPr>
    </w:lvl>
  </w:abstractNum>
  <w:num w:numId="1" w16cid:durableId="1252408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utoHyphenation/>
  <w:hyphenationZone w:val="284"/>
  <w:zoom w:percent="164"/>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96E"/>
    <w:rsid w:val="003F4373"/>
    <w:rsid w:val="005B696E"/>
    <w:rsid w:val="00E048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C31F489"/>
  <w15:docId w15:val="{D4ADED6E-EDF1-0E45-B8A6-5E9144A7E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color w:val="000000"/>
      <w:sz w:val="25"/>
      <w:szCs w:val="25"/>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BbH1" Type="http://schemas.openxmlformats.org/officeDocument/2006/relationships/header" Target="header1.xml"/><Relationship Id="rIdBbF1" Type="http://schemas.openxmlformats.org/officeDocument/2006/relationships/footer" Target="footer1.xml"/><Relationship Id="rIdBbF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2008</Words>
  <Characters>12654</Characters>
  <Application>Microsoft Office Word</Application>
  <DocSecurity>0</DocSecurity>
  <Lines>105</Lines>
  <Paragraphs>29</Paragraphs>
  <ScaleCrop>false</ScaleCrop>
  <Company/>
  <LinksUpToDate>false</LinksUpToDate>
  <CharactersWithSpaces>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Rene Herzer</cp:lastModifiedBy>
  <cp:revision>2</cp:revision>
  <dcterms:created xsi:type="dcterms:W3CDTF">2026-08-14T21:31:00Z</dcterms:created>
  <dcterms:modified xsi:type="dcterms:W3CDTF">2026-08-14T21:31:00Z</dcterms:modified>
</cp:coreProperties>
</file>