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6B665C"/>
          <w:spacing w:val="30"/>
          <w:sz w:val="17"/>
          <w:szCs w:val="17"/>
        </w:rPr>
        <w:t xml:space="preserve">MUSTER · RICHTLINIE · STAND [DATUM]</w:t>
      </w:r>
    </w:p>
    <w:p>
      <w:pPr>
        <w:pStyle w:val="Title"/>
      </w:pPr>
      <w:r>
        <w:t xml:space="preserve">Richtlinie zur Nutzung von Künstlicher Intelligenz (KI-Richtlinie)</w:t>
      </w:r>
    </w:p>
    <w:p>
      <w:pPr>
        <w:spacing w:after="280"/>
      </w:pPr>
      <w:r>
        <w:rPr>
          <w:color w:val="6B665C"/>
        </w:rPr>
        <w:t xml:space="preserve">[Name der Organisation]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Erlassen von</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[Leitung, z. B. Geschäftsführung, Vorstand, Behördenleitung]</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Gültig ab</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[Datum]</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Fassung</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[Nummer, z. B. 1.0]</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Zuständige Stelle</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IT, Digitalisierung oder Informationssicherheit]</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Beteiligt</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Datenschutzbeauftragte, Informationssicherheit, Betriebsrat, Personalrat oder Mitarbeitervertretung, Schwerbehindertenvertretung]</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Fundstelle</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Intranet, Pfad]</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2EE" w:color="auto" w:val="clear"/>
            <w:tcMar>
              <w:top w:type="dxa" w:w="160"/>
              <w:left w:type="dxa" w:w="200"/>
              <w:bottom w:type="dxa" w:w="160"/>
              <w:right w:type="dxa" w:w="200"/>
            </w:tcMar>
          </w:tcPr>
          <w:p>
            <w:pPr>
              <w:spacing w:after="80"/>
            </w:pPr>
            <w:r>
              <w:rPr>
                <w:b/>
                <w:bCs/>
                <w:sz w:val="20"/>
                <w:szCs w:val="20"/>
              </w:rPr>
              <w:t xml:space="preserve">Hinweise zur Verwendung (vor der Veröffentlichung löschen)</w:t>
            </w:r>
          </w:p>
          <w:p>
            <w:pPr>
              <w:pStyle w:val="ListParagraph"/>
              <w:numPr>
                <w:ilvl w:val="0"/>
                <w:numId w:val="2"/>
              </w:numPr>
              <w:spacing w:after="60"/>
            </w:pPr>
            <w:r>
              <w:rPr>
                <w:color w:val="3D3A35"/>
                <w:sz w:val="19"/>
                <w:szCs w:val="19"/>
              </w:rPr>
              <w:t xml:space="preserve">Dieses Muster ist ein unverbindlicher Entwurf und keine Rechtsberatung. Es ersetzt keine Prüfung im Einzelfall.</w:t>
            </w:r>
          </w:p>
          <w:p>
            <w:pPr>
              <w:pStyle w:val="ListParagraph"/>
              <w:numPr>
                <w:ilvl w:val="0"/>
                <w:numId w:val="2"/>
              </w:numPr>
              <w:spacing w:after="60"/>
            </w:pPr>
            <w:r>
              <w:rPr>
                <w:color w:val="3D3A35"/>
                <w:sz w:val="19"/>
                <w:szCs w:val="19"/>
              </w:rPr>
              <w:t xml:space="preserve">Passen Sie es an Ihre Organisation an: Platzhalter in eckigen Klammern ersetzen, nicht Passendes streichen, Beispiele aus Ihren Arbeitsbereichen ergänzen.</w:t>
            </w:r>
          </w:p>
          <w:p>
            <w:pPr>
              <w:pStyle w:val="ListParagraph"/>
              <w:numPr>
                <w:ilvl w:val="0"/>
                <w:numId w:val="2"/>
              </w:numPr>
              <w:spacing w:after="60"/>
            </w:pPr>
            <w:r>
              <w:rPr>
                <w:color w:val="3D3A35"/>
                <w:sz w:val="19"/>
                <w:szCs w:val="19"/>
              </w:rPr>
              <w:t xml:space="preserve">Lassen Sie den Entwurf von Ihrer oder Ihrem Datenschutzbeauftragten, gegebenenfalls von der Rechtsabteilung und der Informationssicherheit prüfen.</w:t>
            </w:r>
          </w:p>
          <w:p>
            <w:pPr>
              <w:pStyle w:val="ListParagraph"/>
              <w:numPr>
                <w:ilvl w:val="0"/>
                <w:numId w:val="2"/>
              </w:numPr>
              <w:spacing w:after="60"/>
            </w:pPr>
            <w:r>
              <w:rPr>
                <w:color w:val="3D3A35"/>
                <w:sz w:val="19"/>
                <w:szCs w:val="19"/>
              </w:rPr>
              <w:t xml:space="preserve">Beteiligen Sie Betriebsrat, Personalrat oder Mitarbeitervertretung früh. Die Einführung eines KI-Systems, das Verhalten oder Leistung überwachen kann, und Schulungen sind in der Regel mitbestimmungspflichtig. Oft wird die Richtlinie zusammen mit einer Betriebs- oder Dienstvereinbarung abgestimmt.</w:t>
            </w:r>
          </w:p>
          <w:p>
            <w:pPr>
              <w:pStyle w:val="ListParagraph"/>
              <w:numPr>
                <w:ilvl w:val="0"/>
                <w:numId w:val="2"/>
              </w:numPr>
              <w:spacing w:after="60"/>
            </w:pPr>
            <w:r>
              <w:rPr>
                <w:color w:val="3D3A35"/>
                <w:sz w:val="19"/>
                <w:szCs w:val="19"/>
              </w:rPr>
              <w:t xml:space="preserve">Branchenregeln ergänzen: Schweigepflicht (§ 203 StGB), Landeskrankenhausgesetz, Amtsverschwiegenheit, Sozial- und Steuergeheimnis, kirchlicher Datenschutz, Geheimschutz, NIS2. In Österreich und der Schweiz gelten abweichende Vorschriften.</w:t>
            </w:r>
          </w:p>
          <w:p>
            <w:pPr>
              <w:pStyle w:val="ListParagraph"/>
              <w:numPr>
                <w:ilvl w:val="0"/>
                <w:numId w:val="2"/>
              </w:numPr>
              <w:spacing w:after="60"/>
            </w:pPr>
            <w:r>
              <w:rPr>
                <w:color w:val="3D3A35"/>
                <w:sz w:val="19"/>
                <w:szCs w:val="19"/>
              </w:rPr>
              <w:t xml:space="preserve">Rechtsstand des Musters: 12. Oktober 2026.</w:t>
            </w:r>
          </w:p>
        </w:tc>
      </w:tr>
    </w:tbl>
    <w:p>
      <w:r>
        <w:br w:type="page"/>
      </w:r>
    </w:p>
    <w:p>
      <w:pPr>
        <w:pStyle w:val="Heading1"/>
      </w:pPr>
      <w:r>
        <w:t xml:space="preserve">1. Zweck und Grundsätze</w:t>
      </w:r>
    </w:p>
    <w:p>
      <w:pPr>
        <w:tabs>
          <w:tab w:val="left" w:pos="400"/>
        </w:tabs>
        <w:spacing w:after="100" w:line="276"/>
        <w:ind w:left="400" w:hanging="400"/>
      </w:pPr>
      <w:r>
        <w:t xml:space="preserve">(1)	</w:t>
      </w:r>
      <w:r>
        <w:rPr>
          <w:color w:val="6B665C"/>
        </w:rPr>
        <w:t xml:space="preserve">[Organisation]</w:t>
      </w:r>
      <w:r>
        <w:rPr>
          <w:color w:val="1D1E1C"/>
        </w:rPr>
        <w:t xml:space="preserve"> setzt KI-Werkzeuge ein, um Beschäftigte bei ihren Aufgaben zu entlasten. Diese Richtlinie legt fest, welche Werkzeuge für welche Zwecke und mit welchen Daten genutzt werden dürfen.</w:t>
      </w:r>
    </w:p>
    <w:p>
      <w:pPr>
        <w:tabs>
          <w:tab w:val="left" w:pos="400"/>
        </w:tabs>
        <w:spacing w:after="100" w:line="276"/>
        <w:ind w:left="400" w:hanging="400"/>
      </w:pPr>
      <w:r>
        <w:t xml:space="preserve">(2)	</w:t>
      </w:r>
      <w:r>
        <w:rPr>
          <w:color w:val="1D1E1C"/>
        </w:rPr>
        <w:t xml:space="preserve">Grundsätze: KI unterstützt, der Mensch entscheidet. Daten werden nur so weit eingegeben, wie es für die Aufgabe nötig ist. Rechte von Betroffenen, Geheimhaltungspflichten und Rechte Dritter bleiben gewahrt.</w:t>
      </w:r>
    </w:p>
    <w:p>
      <w:pPr>
        <w:tabs>
          <w:tab w:val="left" w:pos="400"/>
        </w:tabs>
        <w:spacing w:after="100" w:line="276"/>
        <w:ind w:left="400" w:hanging="400"/>
      </w:pPr>
      <w:r>
        <w:t xml:space="preserve">(3)	</w:t>
      </w:r>
      <w:r>
        <w:rPr>
          <w:color w:val="1D1E1C"/>
        </w:rPr>
        <w:t xml:space="preserve">Ergänzend gelten </w:t>
      </w:r>
      <w:r>
        <w:rPr>
          <w:color w:val="6B665C"/>
        </w:rPr>
        <w:t xml:space="preserve">[Datenschutzrichtlinie]</w:t>
      </w:r>
      <w:r>
        <w:rPr>
          <w:color w:val="1D1E1C"/>
        </w:rPr>
        <w:t xml:space="preserve">, </w:t>
      </w:r>
      <w:r>
        <w:rPr>
          <w:color w:val="6B665C"/>
        </w:rPr>
        <w:t xml:space="preserve">[IT-Nutzungsrichtlinie]</w:t>
      </w:r>
      <w:r>
        <w:rPr>
          <w:color w:val="1D1E1C"/>
        </w:rPr>
        <w:t xml:space="preserve"> und </w:t>
      </w:r>
      <w:r>
        <w:rPr>
          <w:color w:val="6B665C"/>
        </w:rPr>
        <w:t xml:space="preserve">[Betriebs- oder Dienstvereinbarung zur KI, falls vorhanden]</w:t>
      </w:r>
      <w:r>
        <w:rPr>
          <w:color w:val="1D1E1C"/>
        </w:rPr>
        <w:t xml:space="preserve">. Bei Widersprüchen geht die Betriebs- oder Dienstvereinbarung vor.</w:t>
      </w:r>
    </w:p>
    <w:p>
      <w:pPr>
        <w:pStyle w:val="Heading1"/>
      </w:pPr>
      <w:r>
        <w:t xml:space="preserve">2. Geltungsbereich und Begriffe</w:t>
      </w:r>
    </w:p>
    <w:p>
      <w:pPr>
        <w:tabs>
          <w:tab w:val="left" w:pos="400"/>
        </w:tabs>
        <w:spacing w:after="100" w:line="276"/>
        <w:ind w:left="400" w:hanging="400"/>
      </w:pPr>
      <w:r>
        <w:t xml:space="preserve">(1)	</w:t>
      </w:r>
      <w:r>
        <w:rPr>
          <w:color w:val="1D1E1C"/>
        </w:rPr>
        <w:t xml:space="preserve">Diese Richtlinie gilt für alle Beschäftigten von </w:t>
      </w:r>
      <w:r>
        <w:rPr>
          <w:color w:val="6B665C"/>
        </w:rPr>
        <w:t xml:space="preserve">[Organisation]</w:t>
      </w:r>
      <w:r>
        <w:rPr>
          <w:color w:val="1D1E1C"/>
        </w:rPr>
        <w:t xml:space="preserve">, einschließlich Auszubildender, Praktikantinnen und Praktikanten sowie Leiharbeitskräften, wenn sie KI-Werkzeuge für dienstliche Aufgaben nutzen. Für externe Dienstleister gilt sie, soweit sie vertraglich vereinbart ist.</w:t>
      </w:r>
    </w:p>
    <w:p>
      <w:pPr>
        <w:tabs>
          <w:tab w:val="left" w:pos="400"/>
        </w:tabs>
        <w:spacing w:after="100" w:line="276"/>
        <w:ind w:left="400" w:hanging="400"/>
      </w:pPr>
      <w:r>
        <w:t xml:space="preserve">(2)	</w:t>
      </w:r>
      <w:r>
        <w:rPr>
          <w:color w:val="1D1E1C"/>
        </w:rPr>
        <w:t xml:space="preserve">KI-Werkzeuge im Sinne dieser Richtlinie sind eigenständige Anwendungen, die Texte, Bilder, Ton, Programmcode oder andere Inhalte erzeugen oder auswerten, und KI-Funktionen in anderer Software, etwa in Textverarbeitung, E-Mail, Videokonferenz oder Fachverfahren.</w:t>
      </w:r>
    </w:p>
    <w:p>
      <w:pPr>
        <w:tabs>
          <w:tab w:val="left" w:pos="400"/>
        </w:tabs>
        <w:spacing w:after="100" w:line="276"/>
        <w:ind w:left="400" w:hanging="400"/>
      </w:pPr>
      <w:r>
        <w:t xml:space="preserve">(3)	</w:t>
      </w:r>
      <w:r>
        <w:rPr>
          <w:color w:val="1D1E1C"/>
        </w:rPr>
        <w:t xml:space="preserve">Anweisung ist die Eingabe, mit der eine Person einem KI-Werkzeug eine Aufgabe stellt, einschließlich hochgeladener Dokumente.</w:t>
      </w:r>
    </w:p>
    <w:p>
      <w:pPr>
        <w:pStyle w:val="Heading1"/>
      </w:pPr>
      <w:r>
        <w:t xml:space="preserve">3. Freigegebene Werkzeuge</w:t>
      </w:r>
    </w:p>
    <w:p>
      <w:pPr>
        <w:tabs>
          <w:tab w:val="left" w:pos="400"/>
        </w:tabs>
        <w:spacing w:after="100" w:line="276"/>
        <w:ind w:left="400" w:hanging="400"/>
      </w:pPr>
      <w:r>
        <w:t xml:space="preserve">(1)	</w:t>
      </w:r>
      <w:r>
        <w:rPr>
          <w:color w:val="1D1E1C"/>
        </w:rPr>
        <w:t xml:space="preserve">Für dienstliche Aufgaben dürfen nur KI-Werkzeuge genutzt werden, die in Anlage 1 aufgeführt sind, und nur für die dort genannten Zwecke und Datenklassen.</w:t>
      </w:r>
    </w:p>
    <w:p>
      <w:pPr>
        <w:tabs>
          <w:tab w:val="left" w:pos="400"/>
        </w:tabs>
        <w:spacing w:after="100" w:line="276"/>
        <w:ind w:left="400" w:hanging="400"/>
      </w:pPr>
      <w:r>
        <w:t xml:space="preserve">(2)	</w:t>
      </w:r>
      <w:r>
        <w:rPr>
          <w:color w:val="1D1E1C"/>
        </w:rPr>
        <w:t xml:space="preserve">Neue Werkzeuge oder neue KI-Funktionen in vorhandener Software beantragen Sie bei </w:t>
      </w:r>
      <w:r>
        <w:rPr>
          <w:color w:val="6B665C"/>
        </w:rPr>
        <w:t xml:space="preserve">[Stelle, Kontakt]</w:t>
      </w:r>
      <w:r>
        <w:rPr>
          <w:color w:val="1D1E1C"/>
        </w:rPr>
        <w:t xml:space="preserve">. Über die Freigabe entscheidet </w:t>
      </w:r>
      <w:r>
        <w:rPr>
          <w:color w:val="6B665C"/>
        </w:rPr>
        <w:t xml:space="preserve">[Leitung]</w:t>
      </w:r>
      <w:r>
        <w:rPr>
          <w:color w:val="1D1E1C"/>
        </w:rPr>
        <w:t xml:space="preserve"> nach Prüfung durch IT, Informationssicherheit und Datenschutz. </w:t>
      </w:r>
      <w:r>
        <w:rPr>
          <w:color w:val="6B665C"/>
        </w:rPr>
        <w:t xml:space="preserve">[Die Vertretung der Beschäftigten wird nach der Betriebs- oder Dienstvereinbarung beteiligt.]</w:t>
      </w:r>
    </w:p>
    <w:p>
      <w:pPr>
        <w:tabs>
          <w:tab w:val="left" w:pos="400"/>
        </w:tabs>
        <w:spacing w:after="100" w:line="276"/>
        <w:ind w:left="400" w:hanging="400"/>
      </w:pPr>
      <w:r>
        <w:t xml:space="preserve">(3)	</w:t>
      </w:r>
      <w:r>
        <w:rPr>
          <w:color w:val="1D1E1C"/>
        </w:rPr>
        <w:t xml:space="preserve">Ist nicht erkennbar, ob eine Software KI-Funktionen nutzt oder Inhalte an fremde Server überträgt, verwenden Sie diese Funktionen für Daten der Klassen Orange und Rot nicht und fragen bei </w:t>
      </w:r>
      <w:r>
        <w:rPr>
          <w:color w:val="6B665C"/>
        </w:rPr>
        <w:t xml:space="preserve">[Stelle]</w:t>
      </w:r>
      <w:r>
        <w:rPr>
          <w:color w:val="1D1E1C"/>
        </w:rPr>
        <w:t xml:space="preserve"> nach.</w:t>
      </w:r>
    </w:p>
    <w:p>
      <w:pPr>
        <w:pStyle w:val="Heading1"/>
      </w:pPr>
      <w:r>
        <w:t xml:space="preserve">4. Welche Daten in welches Werkzeug dürfen</w:t>
      </w:r>
    </w:p>
    <w:p>
      <w:pPr>
        <w:tabs>
          <w:tab w:val="left" w:pos="400"/>
        </w:tabs>
        <w:spacing w:after="100" w:line="276"/>
        <w:ind w:left="400" w:hanging="400"/>
      </w:pPr>
      <w:r>
        <w:t xml:space="preserve">(1)	</w:t>
      </w:r>
      <w:r>
        <w:rPr>
          <w:color w:val="1D1E1C"/>
        </w:rPr>
        <w:t xml:space="preserve">Bevor Sie Informationen in ein KI-Werkzeug eingeben oder hochladen, ordnen Sie sie einer Datenklasse nach Anlage 2 zu. Im Zweifel gilt die höhere Klasse.</w:t>
      </w:r>
    </w:p>
    <w:p>
      <w:pPr>
        <w:tabs>
          <w:tab w:val="left" w:pos="400"/>
        </w:tabs>
        <w:spacing w:after="100" w:line="276"/>
        <w:ind w:left="400" w:hanging="400"/>
      </w:pPr>
      <w:r>
        <w:t xml:space="preserve">(2)	</w:t>
      </w:r>
      <w:r>
        <w:rPr>
          <w:color w:val="1D1E1C"/>
        </w:rPr>
        <w:t xml:space="preserve">Ein Werkzeug darf nur Informationen bis zu der Datenklasse verarbeiten, die in Anlage 1 für dieses Werkzeug angegeben ist.</w:t>
      </w:r>
    </w:p>
    <w:p>
      <w:pPr>
        <w:tabs>
          <w:tab w:val="left" w:pos="400"/>
        </w:tabs>
        <w:spacing w:after="100" w:line="276"/>
        <w:ind w:left="400" w:hanging="400"/>
      </w:pPr>
      <w:r>
        <w:t xml:space="preserve">(3)	</w:t>
      </w:r>
      <w:r>
        <w:rPr>
          <w:color w:val="1D1E1C"/>
        </w:rPr>
        <w:t xml:space="preserve">Auch bei freigegebenen Werkzeugen geben Sie nur ein, was für die Aufgabe nötig ist. Wo möglich, lassen Sie Namen und andere Merkmale weg, die auf Personen schließen lassen. Daten ohne Namen sind nicht automatisch unbedenklich: Aktenzeichen, Adressen oder Einzelheiten eines Falls können auf Personen schließen lassen.</w:t>
      </w:r>
    </w:p>
    <w:p>
      <w:pPr>
        <w:tabs>
          <w:tab w:val="left" w:pos="400"/>
        </w:tabs>
        <w:spacing w:after="100" w:line="276"/>
        <w:ind w:left="400" w:hanging="400"/>
      </w:pPr>
      <w:r>
        <w:t xml:space="preserve">(4)	</w:t>
      </w:r>
      <w:r>
        <w:rPr>
          <w:color w:val="1D1E1C"/>
        </w:rPr>
        <w:t xml:space="preserve">Zugangsdaten, Passwörter und Schlüssel geben Sie nie in ein KI-Werkzeug ein.</w:t>
      </w:r>
    </w:p>
    <w:p>
      <w:pPr>
        <w:pStyle w:val="Heading1"/>
      </w:pPr>
      <w:r>
        <w:t xml:space="preserve">5. Private Konten und Geräte</w:t>
      </w:r>
    </w:p>
    <w:p>
      <w:pPr>
        <w:tabs>
          <w:tab w:val="left" w:pos="400"/>
        </w:tabs>
        <w:spacing w:after="100" w:line="276"/>
        <w:ind w:left="400" w:hanging="400"/>
      </w:pPr>
      <w:r>
        <w:t xml:space="preserve">(1)	</w:t>
      </w:r>
      <w:r>
        <w:rPr>
          <w:color w:val="1D1E1C"/>
        </w:rPr>
        <w:t xml:space="preserve">Dienstliche Informationen der Klassen Gelb, Orange und Rot dürfen nicht in private Konten von KI-Diensten eingegeben werden.</w:t>
      </w:r>
    </w:p>
    <w:p>
      <w:pPr>
        <w:tabs>
          <w:tab w:val="left" w:pos="400"/>
        </w:tabs>
        <w:spacing w:after="100" w:line="276"/>
        <w:ind w:left="400" w:hanging="400"/>
      </w:pPr>
      <w:r>
        <w:t xml:space="preserve">(2)	</w:t>
      </w:r>
      <w:r>
        <w:rPr>
          <w:color w:val="1D1E1C"/>
        </w:rPr>
        <w:t xml:space="preserve">Für dienstliche Aufgaben stellt </w:t>
      </w:r>
      <w:r>
        <w:rPr>
          <w:color w:val="6B665C"/>
        </w:rPr>
        <w:t xml:space="preserve">[Organisation]</w:t>
      </w:r>
      <w:r>
        <w:rPr>
          <w:color w:val="1D1E1C"/>
        </w:rPr>
        <w:t xml:space="preserve"> die Werkzeuge in Anlage 1 bereit. Ist für ein freigegebenes Werkzeug eine Registrierung nötig, erfolgt sie nach Absprache mit </w:t>
      </w:r>
      <w:r>
        <w:rPr>
          <w:color w:val="6B665C"/>
        </w:rPr>
        <w:t xml:space="preserve">[IT]</w:t>
      </w:r>
      <w:r>
        <w:rPr>
          <w:color w:val="1D1E1C"/>
        </w:rPr>
        <w:t xml:space="preserve"> mit einem dienstlichen Konto </w:t>
      </w:r>
      <w:r>
        <w:rPr>
          <w:color w:val="6B665C"/>
        </w:rPr>
        <w:t xml:space="preserve">[oder Funktionskonto]</w:t>
      </w:r>
      <w:r>
        <w:rPr>
          <w:color w:val="1D1E1C"/>
        </w:rPr>
        <w:t xml:space="preserve">, nicht mit einem privaten Konto.</w:t>
      </w:r>
    </w:p>
    <w:p>
      <w:pPr>
        <w:tabs>
          <w:tab w:val="left" w:pos="400"/>
        </w:tabs>
        <w:spacing w:after="100" w:line="276"/>
        <w:ind w:left="400" w:hanging="400"/>
      </w:pPr>
      <w:r>
        <w:t xml:space="preserve">(3)	</w:t>
      </w:r>
      <w:r>
        <w:rPr>
          <w:color w:val="1D1E1C"/>
        </w:rPr>
        <w:t xml:space="preserve">Bei frei zugänglichen Diensten, die nach Anlage 1 für Klasse Grün freigegeben sind, schalten Sie die Verwendung Ihrer Eingaben zum Training und, soweit möglich, den Verlauf ab.</w:t>
      </w:r>
    </w:p>
    <w:p>
      <w:pPr>
        <w:tabs>
          <w:tab w:val="left" w:pos="400"/>
        </w:tabs>
        <w:spacing w:after="100" w:line="276"/>
        <w:ind w:left="400" w:hanging="400"/>
      </w:pPr>
      <w:r>
        <w:t xml:space="preserve">(4)	</w:t>
      </w:r>
      <w:r>
        <w:rPr>
          <w:color w:val="6B665C"/>
        </w:rPr>
        <w:t xml:space="preserve">[Die Nutzung freigegebener KI-Werkzeuge auf privaten Geräten ist nicht erlaubt. / ist nur nach den Regeln für mobiles Arbeiten erlaubt.]</w:t>
      </w:r>
    </w:p>
    <w:p>
      <w:pPr>
        <w:pStyle w:val="Heading1"/>
      </w:pPr>
      <w:r>
        <w:t xml:space="preserve">6. Prüfung der Ergebnisse und Verantwortung</w:t>
      </w:r>
    </w:p>
    <w:p>
      <w:pPr>
        <w:tabs>
          <w:tab w:val="left" w:pos="400"/>
        </w:tabs>
        <w:spacing w:after="100" w:line="276"/>
        <w:ind w:left="400" w:hanging="400"/>
      </w:pPr>
      <w:r>
        <w:t xml:space="preserve">(1)	</w:t>
      </w:r>
      <w:r>
        <w:rPr>
          <w:color w:val="1D1E1C"/>
        </w:rPr>
        <w:t xml:space="preserve">Ergebnisse von KI-Werkzeugen sind Entwürfe. KI kann Inhalte erfinden, die plausibel klingen, veraltetes Wissen wiedergeben und Menschen benachteiligen.</w:t>
      </w:r>
    </w:p>
    <w:p>
      <w:pPr>
        <w:tabs>
          <w:tab w:val="left" w:pos="400"/>
        </w:tabs>
        <w:spacing w:after="100" w:line="276"/>
        <w:ind w:left="400" w:hanging="400"/>
      </w:pPr>
      <w:r>
        <w:t xml:space="preserve">(2)	</w:t>
      </w:r>
      <w:r>
        <w:rPr>
          <w:color w:val="1D1E1C"/>
        </w:rPr>
        <w:t xml:space="preserve">Bevor Sie ein Ergebnis verwenden, prüfen Sie Inhalt, Zahlen, Namen, Daten, Fristen und Rechtsangaben an einer verlässlichen Quelle und achten auf benachteiligende Aussagen.</w:t>
      </w:r>
    </w:p>
    <w:p>
      <w:pPr>
        <w:tabs>
          <w:tab w:val="left" w:pos="400"/>
        </w:tabs>
        <w:spacing w:after="100" w:line="276"/>
        <w:ind w:left="400" w:hanging="400"/>
      </w:pPr>
      <w:r>
        <w:t xml:space="preserve">(3)	</w:t>
      </w:r>
      <w:r>
        <w:rPr>
          <w:color w:val="1D1E1C"/>
        </w:rPr>
        <w:t xml:space="preserve">Die Verantwortung für das Arbeitsergebnis bleibt bei Ihnen. Was </w:t>
      </w:r>
      <w:r>
        <w:rPr>
          <w:color w:val="6B665C"/>
        </w:rPr>
        <w:t xml:space="preserve">[Organisation]</w:t>
      </w:r>
      <w:r>
        <w:rPr>
          <w:color w:val="1D1E1C"/>
        </w:rPr>
        <w:t xml:space="preserve"> verlässt, hat ein Mensch gelesen und freigegeben.</w:t>
      </w:r>
    </w:p>
    <w:p>
      <w:pPr>
        <w:tabs>
          <w:tab w:val="left" w:pos="400"/>
        </w:tabs>
        <w:spacing w:after="100" w:line="276"/>
        <w:ind w:left="400" w:hanging="400"/>
      </w:pPr>
      <w:r>
        <w:t xml:space="preserve">(4)	</w:t>
      </w:r>
      <w:r>
        <w:rPr>
          <w:color w:val="1D1E1C"/>
        </w:rPr>
        <w:t xml:space="preserve">Entscheidungen, die Menschen rechtlich betreffen oder ähnlich erheblich beeinträchtigen, etwa über Anträge, Leistungen, Einstellung, Beurteilung oder Kündigung, trifft ein Mensch. KI-Werkzeuge werden dafür nicht ohne gesonderte Prüfung und Freigabe eingesetzt.</w:t>
      </w:r>
    </w:p>
    <w:p>
      <w:pPr>
        <w:pStyle w:val="Heading1"/>
      </w:pPr>
      <w:r>
        <w:t xml:space="preserve">7. Kennzeichnung</w:t>
      </w:r>
    </w:p>
    <w:p>
      <w:pPr>
        <w:tabs>
          <w:tab w:val="left" w:pos="400"/>
        </w:tabs>
        <w:spacing w:after="100" w:line="276"/>
        <w:ind w:left="400" w:hanging="400"/>
      </w:pPr>
      <w:r>
        <w:t xml:space="preserve">(1)	</w:t>
      </w:r>
      <w:r>
        <w:rPr>
          <w:color w:val="1D1E1C"/>
        </w:rPr>
        <w:t xml:space="preserve">Mit KI erzeugte oder veränderte Bilder, Videos und Tonaufnahmen, die wirkliche Personen, Gegenstände, Orte oder Ereignisse zeigen oder mit ihnen verwechselt werden könnten, kennzeichnen Sie als KI-erzeugt.</w:t>
      </w:r>
    </w:p>
    <w:p>
      <w:pPr>
        <w:tabs>
          <w:tab w:val="left" w:pos="400"/>
        </w:tabs>
        <w:spacing w:after="100" w:line="276"/>
        <w:ind w:left="400" w:hanging="400"/>
      </w:pPr>
      <w:r>
        <w:t xml:space="preserve">(2)	</w:t>
      </w:r>
      <w:r>
        <w:rPr>
          <w:color w:val="1D1E1C"/>
        </w:rPr>
        <w:t xml:space="preserve">Texte, die </w:t>
      </w:r>
      <w:r>
        <w:rPr>
          <w:color w:val="6B665C"/>
        </w:rPr>
        <w:t xml:space="preserve">[Organisation]</w:t>
      </w:r>
      <w:r>
        <w:rPr>
          <w:color w:val="1D1E1C"/>
        </w:rPr>
        <w:t xml:space="preserve"> zur Information der Öffentlichkeit veröffentlicht, prüft vor der Veröffentlichung eine verantwortliche Person, die die redaktionelle Verantwortung trägt.</w:t>
      </w:r>
    </w:p>
    <w:p>
      <w:pPr>
        <w:tabs>
          <w:tab w:val="left" w:pos="400"/>
        </w:tabs>
        <w:spacing w:after="100" w:line="276"/>
        <w:ind w:left="400" w:hanging="400"/>
      </w:pPr>
      <w:r>
        <w:t xml:space="preserve">(3)	</w:t>
      </w:r>
      <w:r>
        <w:rPr>
          <w:color w:val="1D1E1C"/>
        </w:rPr>
        <w:t xml:space="preserve">Ein Chat-Angebot, über das </w:t>
      </w:r>
      <w:r>
        <w:rPr>
          <w:color w:val="6B665C"/>
        </w:rPr>
        <w:t xml:space="preserve">[Bürgerinnen und Bürger / Patientinnen und Patienten / Kundinnen und Kunden]</w:t>
      </w:r>
      <w:r>
        <w:rPr>
          <w:color w:val="1D1E1C"/>
        </w:rPr>
        <w:t xml:space="preserve"> mit einer KI kommunizieren, macht erkennbar, dass eine KI antwortet.</w:t>
      </w:r>
    </w:p>
    <w:p>
      <w:pPr>
        <w:tabs>
          <w:tab w:val="left" w:pos="400"/>
        </w:tabs>
        <w:spacing w:after="100" w:line="276"/>
        <w:ind w:left="400" w:hanging="400"/>
      </w:pPr>
      <w:r>
        <w:t xml:space="preserve">(4)	</w:t>
      </w:r>
      <w:r>
        <w:rPr>
          <w:color w:val="6B665C"/>
        </w:rPr>
        <w:t xml:space="preserve">[Interne Regel, z. B.: Bei Gutachten, Stellungnahmen und Berichten vermerken Sie, wenn KI-Werkzeuge wesentlich mitgewirkt haben.]</w:t>
      </w:r>
    </w:p>
    <w:p>
      <w:pPr>
        <w:pStyle w:val="Heading1"/>
      </w:pPr>
      <w:r>
        <w:t xml:space="preserve">8. Urheberrecht, Rechte Dritter und Quellen</w:t>
      </w:r>
    </w:p>
    <w:p>
      <w:pPr>
        <w:tabs>
          <w:tab w:val="left" w:pos="400"/>
        </w:tabs>
        <w:spacing w:after="100" w:line="276"/>
        <w:ind w:left="400" w:hanging="400"/>
      </w:pPr>
      <w:r>
        <w:t xml:space="preserve">(1)	</w:t>
      </w:r>
      <w:r>
        <w:rPr>
          <w:color w:val="1D1E1C"/>
        </w:rPr>
        <w:t xml:space="preserve">Laden Sie fremde Texte, Bilder, Daten oder Programmcode nur hoch, wenn </w:t>
      </w:r>
      <w:r>
        <w:rPr>
          <w:color w:val="6B665C"/>
        </w:rPr>
        <w:t xml:space="preserve">[Organisation]</w:t>
      </w:r>
      <w:r>
        <w:rPr>
          <w:color w:val="1D1E1C"/>
        </w:rPr>
        <w:t xml:space="preserve"> sie für diesen Zweck nutzen darf. Vertrauliche Unterlagen Dritter, etwa von Vertragspartnern, behandeln Sie wie eigene vertrauliche Daten.</w:t>
      </w:r>
    </w:p>
    <w:p>
      <w:pPr>
        <w:tabs>
          <w:tab w:val="left" w:pos="400"/>
        </w:tabs>
        <w:spacing w:after="100" w:line="276"/>
        <w:ind w:left="400" w:hanging="400"/>
      </w:pPr>
      <w:r>
        <w:t xml:space="preserve">(2)	</w:t>
      </w:r>
      <w:r>
        <w:rPr>
          <w:color w:val="1D1E1C"/>
        </w:rPr>
        <w:t xml:space="preserve">Prüfen Sie KI-Ergebnisse vor der Veröffentlichung darauf, ob sie fremde Werke, Marken oder Personen in einer Weise wiedergeben, die Rechte Dritter verletzen kann.</w:t>
      </w:r>
    </w:p>
    <w:p>
      <w:pPr>
        <w:tabs>
          <w:tab w:val="left" w:pos="400"/>
        </w:tabs>
        <w:spacing w:after="100" w:line="276"/>
        <w:ind w:left="400" w:hanging="400"/>
      </w:pPr>
      <w:r>
        <w:t xml:space="preserve">(3)	</w:t>
      </w:r>
      <w:r>
        <w:rPr>
          <w:color w:val="1D1E1C"/>
        </w:rPr>
        <w:t xml:space="preserve">Zitate, Fundstellen und Quellenangaben übernehmen Sie erst, wenn Sie sie an der Quelle gefunden haben.</w:t>
      </w:r>
    </w:p>
    <w:p>
      <w:pPr>
        <w:tabs>
          <w:tab w:val="left" w:pos="400"/>
        </w:tabs>
        <w:spacing w:after="100" w:line="276"/>
        <w:ind w:left="400" w:hanging="400"/>
      </w:pPr>
      <w:r>
        <w:t xml:space="preserve">(4)	</w:t>
      </w:r>
      <w:r>
        <w:rPr>
          <w:color w:val="1D1E1C"/>
        </w:rPr>
        <w:t xml:space="preserve">Rein maschinell erzeugte Inhalte sind in der Regel urheberrechtlich nicht geschützt. Wo ein Schutz wichtig ist, etwa bei Logos oder Veröffentlichungen, sprechen Sie mit </w:t>
      </w:r>
      <w:r>
        <w:rPr>
          <w:color w:val="6B665C"/>
        </w:rPr>
        <w:t xml:space="preserve">[Stelle]</w:t>
      </w:r>
      <w:r>
        <w:rPr>
          <w:color w:val="1D1E1C"/>
        </w:rPr>
        <w:t xml:space="preserve">.</w:t>
      </w:r>
    </w:p>
    <w:p>
      <w:pPr>
        <w:pStyle w:val="Heading1"/>
      </w:pPr>
      <w:r>
        <w:t xml:space="preserve">9. Agenten und Aktionen, die KI selbst ausführt</w:t>
      </w:r>
    </w:p>
    <w:p>
      <w:pPr>
        <w:tabs>
          <w:tab w:val="left" w:pos="400"/>
        </w:tabs>
        <w:spacing w:after="100" w:line="276"/>
        <w:ind w:left="400" w:hanging="400"/>
      </w:pPr>
      <w:r>
        <w:t xml:space="preserve">(1)	</w:t>
      </w:r>
      <w:r>
        <w:rPr>
          <w:color w:val="1D1E1C"/>
        </w:rPr>
        <w:t xml:space="preserve">KI-Werkzeuge, die Aktionen in anderen Systemen ausführen können, etwa E-Mails versenden, Termine anlegen, Daten ändern, löschen oder buchen, dürfen dies nur, wenn eine verantwortliche Person die einzelne Aktion vorher bestätigt hat.</w:t>
      </w:r>
    </w:p>
    <w:p>
      <w:pPr>
        <w:tabs>
          <w:tab w:val="left" w:pos="400"/>
        </w:tabs>
        <w:spacing w:after="100" w:line="276"/>
        <w:ind w:left="400" w:hanging="400"/>
      </w:pPr>
      <w:r>
        <w:t xml:space="preserve">(2)	</w:t>
      </w:r>
      <w:r>
        <w:rPr>
          <w:color w:val="1D1E1C"/>
        </w:rPr>
        <w:t xml:space="preserve">Ein KI-Werkzeug handelt nur mit den Rechten der Person, die es nutzt. Gemeinsame Konten mit weitergehenden Rechten werden dafür nicht eingerichtet.</w:t>
      </w:r>
    </w:p>
    <w:p>
      <w:pPr>
        <w:tabs>
          <w:tab w:val="left" w:pos="400"/>
        </w:tabs>
        <w:spacing w:after="100" w:line="276"/>
        <w:ind w:left="400" w:hanging="400"/>
      </w:pPr>
      <w:r>
        <w:t xml:space="preserve">(3)	</w:t>
      </w:r>
      <w:r>
        <w:rPr>
          <w:color w:val="1D1E1C"/>
        </w:rPr>
        <w:t xml:space="preserve">Abläufe, die wiederkehrende Aufgaben selbstständig erledigen, gibt </w:t>
      </w:r>
      <w:r>
        <w:rPr>
          <w:color w:val="6B665C"/>
        </w:rPr>
        <w:t xml:space="preserve">[Stelle]</w:t>
      </w:r>
      <w:r>
        <w:rPr>
          <w:color w:val="1D1E1C"/>
        </w:rPr>
        <w:t xml:space="preserve"> vor dem Einsatz frei. Die Freigabe nennt Zweck, Datenklasse, beteiligte Systeme und die verantwortliche Person.</w:t>
      </w:r>
    </w:p>
    <w:p>
      <w:pPr>
        <w:tabs>
          <w:tab w:val="left" w:pos="400"/>
        </w:tabs>
        <w:spacing w:after="100" w:line="276"/>
        <w:ind w:left="400" w:hanging="400"/>
      </w:pPr>
      <w:r>
        <w:t xml:space="preserve">(4)	</w:t>
      </w:r>
      <w:r>
        <w:rPr>
          <w:color w:val="1D1E1C"/>
        </w:rPr>
        <w:t xml:space="preserve">Inhalte aus Dokumenten, E-Mails oder Webseiten können versteckte Anweisungen enthalten, die ein KI-Werkzeug zu ungewollten Handlungen verleiten. Melden Sie auffälliges Verhalten nach Abschnitt 11.</w:t>
      </w:r>
    </w:p>
    <w:p>
      <w:pPr>
        <w:pStyle w:val="Heading1"/>
      </w:pPr>
      <w:r>
        <w:t xml:space="preserve">10. Schulung</w:t>
      </w:r>
    </w:p>
    <w:p>
      <w:pPr>
        <w:tabs>
          <w:tab w:val="left" w:pos="400"/>
        </w:tabs>
        <w:spacing w:after="100" w:line="276"/>
        <w:ind w:left="400" w:hanging="400"/>
      </w:pPr>
      <w:r>
        <w:t xml:space="preserve">(1)	</w:t>
      </w:r>
      <w:r>
        <w:rPr>
          <w:color w:val="1D1E1C"/>
        </w:rPr>
        <w:t xml:space="preserve">Wer KI-Werkzeuge dienstlich nutzt, nimmt vorher an einer Schulung teil. </w:t>
      </w:r>
      <w:r>
        <w:rPr>
          <w:color w:val="6B665C"/>
        </w:rPr>
        <w:t xml:space="preserve">[Organisation]</w:t>
      </w:r>
      <w:r>
        <w:rPr>
          <w:color w:val="1D1E1C"/>
        </w:rPr>
        <w:t xml:space="preserve"> bietet sie in der Arbeitszeit an.</w:t>
      </w:r>
    </w:p>
    <w:p>
      <w:pPr>
        <w:tabs>
          <w:tab w:val="left" w:pos="400"/>
        </w:tabs>
        <w:spacing w:after="100" w:line="276"/>
        <w:ind w:left="400" w:hanging="400"/>
      </w:pPr>
      <w:r>
        <w:t xml:space="preserve">(2)	</w:t>
      </w:r>
      <w:r>
        <w:rPr>
          <w:color w:val="1D1E1C"/>
        </w:rPr>
        <w:t xml:space="preserve">Die Schulung umfasst Funktionsweise, Stärken und Grenzen von KI, Datenschutz und Vertraulichkeit, diese Richtlinie und Beispiele aus dem jeweiligen Arbeitsbereich. Für Personen, die Werkzeuge verwalten oder Abläufe einrichten, gibt es vertiefende Angebote.</w:t>
      </w:r>
    </w:p>
    <w:p>
      <w:pPr>
        <w:tabs>
          <w:tab w:val="left" w:pos="400"/>
        </w:tabs>
        <w:spacing w:after="100" w:line="276"/>
        <w:ind w:left="400" w:hanging="400"/>
      </w:pPr>
      <w:r>
        <w:t xml:space="preserve">(3)	</w:t>
      </w:r>
      <w:r>
        <w:rPr>
          <w:color w:val="6B665C"/>
        </w:rPr>
        <w:t xml:space="preserve">[Organisation]</w:t>
      </w:r>
      <w:r>
        <w:rPr>
          <w:color w:val="1D1E1C"/>
        </w:rPr>
        <w:t xml:space="preserve"> dokumentiert die Teilnahme und frischt die Schulung bei wesentlichen Änderungen auf, mindestens </w:t>
      </w:r>
      <w:r>
        <w:rPr>
          <w:color w:val="6B665C"/>
        </w:rPr>
        <w:t xml:space="preserve">[alle zwei Jahre]</w:t>
      </w:r>
      <w:r>
        <w:rPr>
          <w:color w:val="1D1E1C"/>
        </w:rPr>
        <w:t xml:space="preserve">.</w:t>
      </w:r>
    </w:p>
    <w:p>
      <w:pPr>
        <w:pStyle w:val="Heading1"/>
      </w:pPr>
      <w:r>
        <w:t xml:space="preserve">11. Ansprechpersonen und Meldeweg</w:t>
      </w:r>
    </w:p>
    <w:p>
      <w:pPr>
        <w:tabs>
          <w:tab w:val="left" w:pos="400"/>
        </w:tabs>
        <w:spacing w:after="100" w:line="276"/>
        <w:ind w:left="400" w:hanging="400"/>
      </w:pPr>
      <w:r>
        <w:t xml:space="preserve">(1)	</w:t>
      </w:r>
      <w:r>
        <w:rPr>
          <w:color w:val="1D1E1C"/>
        </w:rPr>
        <w:t xml:space="preserve">Fragen zur Nutzung von KI beantwortet </w:t>
      </w:r>
      <w:r>
        <w:rPr>
          <w:color w:val="6B665C"/>
        </w:rPr>
        <w:t xml:space="preserve">[Name oder Stelle, Kontakt]</w:t>
      </w:r>
      <w:r>
        <w:rPr>
          <w:color w:val="1D1E1C"/>
        </w:rPr>
        <w:t xml:space="preserve">. Fragen zum Datenschutz beantwortet </w:t>
      </w:r>
      <w:r>
        <w:rPr>
          <w:color w:val="6B665C"/>
        </w:rPr>
        <w:t xml:space="preserve">[Datenschutzbeauftragte, Kontakt]</w:t>
      </w:r>
      <w:r>
        <w:rPr>
          <w:color w:val="1D1E1C"/>
        </w:rPr>
        <w:t xml:space="preserve">, Fragen zur Informationssicherheit </w:t>
      </w:r>
      <w:r>
        <w:rPr>
          <w:color w:val="6B665C"/>
        </w:rPr>
        <w:t xml:space="preserve">[Informationssicherheitsbeauftragte, Kontakt]</w:t>
      </w:r>
      <w:r>
        <w:rPr>
          <w:color w:val="1D1E1C"/>
        </w:rPr>
        <w:t xml:space="preserve">.</w:t>
      </w:r>
    </w:p>
    <w:p>
      <w:pPr>
        <w:tabs>
          <w:tab w:val="left" w:pos="400"/>
        </w:tabs>
        <w:spacing w:after="100" w:line="276"/>
        <w:ind w:left="400" w:hanging="400"/>
      </w:pPr>
      <w:r>
        <w:t xml:space="preserve">(2)	</w:t>
      </w:r>
      <w:r>
        <w:rPr>
          <w:color w:val="1D1E1C"/>
        </w:rPr>
        <w:t xml:space="preserve">Melden Sie unverzüglich an </w:t>
      </w:r>
      <w:r>
        <w:rPr>
          <w:color w:val="6B665C"/>
        </w:rPr>
        <w:t xml:space="preserve">[Kontakt]</w:t>
      </w:r>
      <w:r>
        <w:rPr>
          <w:color w:val="1D1E1C"/>
        </w:rPr>
        <w:t xml:space="preserve">, wenn Sie versehentlich Daten in ein Werkzeug eingegeben haben, das dafür nicht freigegeben ist, wenn ein fehlerhaftes KI-Ergebnis </w:t>
      </w:r>
      <w:r>
        <w:rPr>
          <w:color w:val="6B665C"/>
        </w:rPr>
        <w:t xml:space="preserve">[Organisation]</w:t>
      </w:r>
      <w:r>
        <w:rPr>
          <w:color w:val="1D1E1C"/>
        </w:rPr>
        <w:t xml:space="preserve"> verlassen hat oder wenn ein Werkzeug sich unerwartet verhält.</w:t>
      </w:r>
    </w:p>
    <w:p>
      <w:pPr>
        <w:tabs>
          <w:tab w:val="left" w:pos="400"/>
        </w:tabs>
        <w:spacing w:after="100" w:line="276"/>
        <w:ind w:left="400" w:hanging="400"/>
      </w:pPr>
      <w:r>
        <w:t xml:space="preserve">(3)	</w:t>
      </w:r>
      <w:r>
        <w:rPr>
          <w:color w:val="1D1E1C"/>
        </w:rPr>
        <w:t xml:space="preserve">Wer einen Fehler meldet, hilft, Schaden zu begrenzen. Meldungen werden vertraulich behandelt. Die Fristen für Meldungen an Aufsichtsbehörden wahrt </w:t>
      </w:r>
      <w:r>
        <w:rPr>
          <w:color w:val="6B665C"/>
        </w:rPr>
        <w:t xml:space="preserve">[Stelle]</w:t>
      </w:r>
      <w:r>
        <w:rPr>
          <w:color w:val="1D1E1C"/>
        </w:rPr>
        <w:t xml:space="preserve">.</w:t>
      </w:r>
    </w:p>
    <w:p>
      <w:pPr>
        <w:pStyle w:val="Heading1"/>
      </w:pPr>
      <w:r>
        <w:t xml:space="preserve">12. Verstöße</w:t>
      </w:r>
    </w:p>
    <w:p>
      <w:pPr>
        <w:tabs>
          <w:tab w:val="left" w:pos="400"/>
        </w:tabs>
        <w:spacing w:after="100" w:line="276"/>
        <w:ind w:left="400" w:hanging="400"/>
      </w:pPr>
      <w:r>
        <w:t xml:space="preserve">(1)	</w:t>
      </w:r>
      <w:r>
        <w:rPr>
          <w:color w:val="1D1E1C"/>
        </w:rPr>
        <w:t xml:space="preserve">Verstöße gegen diese Richtlinie können arbeits- oder dienstrechtliche Folgen haben.</w:t>
      </w:r>
    </w:p>
    <w:p>
      <w:pPr>
        <w:tabs>
          <w:tab w:val="left" w:pos="400"/>
        </w:tabs>
        <w:spacing w:after="100" w:line="276"/>
        <w:ind w:left="400" w:hanging="400"/>
      </w:pPr>
      <w:r>
        <w:t xml:space="preserve">(2)	</w:t>
      </w:r>
      <w:r>
        <w:rPr>
          <w:color w:val="6B665C"/>
        </w:rPr>
        <w:t xml:space="preserve">[Organisation]</w:t>
      </w:r>
      <w:r>
        <w:rPr>
          <w:color w:val="1D1E1C"/>
        </w:rPr>
        <w:t xml:space="preserve"> berücksichtigt dabei die Umstände des Einzelfalls, insbesondere Art und Schwere des Verstoßes und ob er selbst gemeldet wurde.</w:t>
      </w:r>
    </w:p>
    <w:p>
      <w:pPr>
        <w:tabs>
          <w:tab w:val="left" w:pos="400"/>
        </w:tabs>
        <w:spacing w:after="100" w:line="276"/>
        <w:ind w:left="400" w:hanging="400"/>
      </w:pPr>
      <w:r>
        <w:t xml:space="preserve">(3)	</w:t>
      </w:r>
      <w:r>
        <w:rPr>
          <w:color w:val="1D1E1C"/>
        </w:rPr>
        <w:t xml:space="preserve">Strafrechtliche Vorschriften zum Schutz von Geheimnissen und die Vorschriften des Datenschutzes bleiben unberührt.</w:t>
      </w:r>
    </w:p>
    <w:p>
      <w:pPr>
        <w:pStyle w:val="Heading1"/>
      </w:pPr>
      <w:r>
        <w:t xml:space="preserve">13. Überprüfung, Änderung und Inkrafttreten</w:t>
      </w:r>
    </w:p>
    <w:p>
      <w:pPr>
        <w:tabs>
          <w:tab w:val="left" w:pos="400"/>
        </w:tabs>
        <w:spacing w:after="100" w:line="276"/>
        <w:ind w:left="400" w:hanging="400"/>
      </w:pPr>
      <w:r>
        <w:t xml:space="preserve">(1)	</w:t>
      </w:r>
      <w:r>
        <w:rPr>
          <w:color w:val="6B665C"/>
        </w:rPr>
        <w:t xml:space="preserve">[Stelle]</w:t>
      </w:r>
      <w:r>
        <w:rPr>
          <w:color w:val="1D1E1C"/>
        </w:rPr>
        <w:t xml:space="preserve"> prüft diese Richtlinie mindestens einmal im Jahr und bei wesentlichen Änderungen von Recht, Werkzeugen oder Organisation.</w:t>
      </w:r>
    </w:p>
    <w:p>
      <w:pPr>
        <w:tabs>
          <w:tab w:val="left" w:pos="400"/>
        </w:tabs>
        <w:spacing w:after="100" w:line="276"/>
        <w:ind w:left="400" w:hanging="400"/>
      </w:pPr>
      <w:r>
        <w:t xml:space="preserve">(2)	</w:t>
      </w:r>
      <w:r>
        <w:rPr>
          <w:color w:val="1D1E1C"/>
        </w:rPr>
        <w:t xml:space="preserve">Die Anlagen 1 und 2 schreibt </w:t>
      </w:r>
      <w:r>
        <w:rPr>
          <w:color w:val="6B665C"/>
        </w:rPr>
        <w:t xml:space="preserve">[Stelle]</w:t>
      </w:r>
      <w:r>
        <w:rPr>
          <w:color w:val="1D1E1C"/>
        </w:rPr>
        <w:t xml:space="preserve"> nach dem Verfahren in Abschnitt 3 fort, ohne dass die Richtlinie neu erlassen werden muss. Jede Änderung wird im Änderungsprotokoll (Anlage 4) festgehalten und den Beschäftigten bekannt gegeben.</w:t>
      </w:r>
    </w:p>
    <w:p>
      <w:pPr>
        <w:tabs>
          <w:tab w:val="left" w:pos="400"/>
        </w:tabs>
        <w:spacing w:after="100" w:line="276"/>
        <w:ind w:left="400" w:hanging="400"/>
      </w:pPr>
      <w:r>
        <w:t xml:space="preserve">(3)	</w:t>
      </w:r>
      <w:r>
        <w:rPr>
          <w:color w:val="1D1E1C"/>
        </w:rPr>
        <w:t xml:space="preserve">Diese Richtlinie tritt am </w:t>
      </w:r>
      <w:r>
        <w:rPr>
          <w:color w:val="6B665C"/>
        </w:rPr>
        <w:t xml:space="preserve">[Datum]</w:t>
      </w:r>
      <w:r>
        <w:rPr>
          <w:color w:val="1D1E1C"/>
        </w:rPr>
        <w:t xml:space="preserve"> in Kraft. </w:t>
      </w:r>
      <w:r>
        <w:rPr>
          <w:color w:val="6B665C"/>
        </w:rPr>
        <w:t xml:space="preserve">[Sie ersetzt die Regelung vom [Datum]</w:t>
      </w:r>
      <w:r>
        <w:rPr>
          <w:color w:val="1D1E1C"/>
        </w:rPr>
        <w:t xml:space="preserve">.]</w:t>
      </w:r>
    </w:p>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top w:type="dxa" w:w="600"/>
              <w:left w:type="dxa" w:w="120"/>
              <w:bottom w:type="dxa" w:w="120"/>
              <w:right w:type="dxa" w:w="240"/>
            </w:tcMar>
          </w:tcPr>
          <w:p>
            <w:pPr>
              <w:pBdr>
                <w:top w:val="single" w:color="1D1E1C" w:sz="6" w:space="4"/>
              </w:pBdr>
            </w:pPr>
            <w:r>
              <w:rPr>
                <w:color w:val="6B665C"/>
                <w:sz w:val="18"/>
                <w:szCs w:val="18"/>
              </w:rPr>
              <w:t xml:space="preserve">Ort, Datum</w:t>
            </w:r>
          </w:p>
        </w:tc>
        <w:tc>
          <w:tcPr>
            <w:tcW w:type="dxa" w:w="4819"/>
            <w:tcBorders>
              <w:top w:val="none" w:color="FFFFFF" w:sz="0"/>
              <w:left w:val="none" w:color="FFFFFF" w:sz="0"/>
              <w:bottom w:val="none" w:color="FFFFFF" w:sz="0"/>
              <w:right w:val="none" w:color="FFFFFF" w:sz="0"/>
            </w:tcBorders>
            <w:tcMar>
              <w:top w:type="dxa" w:w="600"/>
              <w:left w:type="dxa" w:w="120"/>
              <w:bottom w:type="dxa" w:w="120"/>
              <w:right w:type="dxa" w:w="240"/>
            </w:tcMar>
          </w:tcPr>
          <w:p>
            <w:pPr>
              <w:pBdr>
                <w:top w:val="single" w:color="1D1E1C" w:sz="6" w:space="4"/>
              </w:pBdr>
            </w:pPr>
            <w:r>
              <w:rPr>
                <w:color w:val="6B665C"/>
                <w:sz w:val="18"/>
                <w:szCs w:val="18"/>
              </w:rPr>
              <w:t xml:space="preserve">[Name, Funktion der Leitung]</w:t>
            </w:r>
          </w:p>
        </w:tc>
      </w:tr>
    </w:tbl>
    <w:p>
      <w:r>
        <w:br w:type="page"/>
      </w:r>
    </w:p>
    <w:p>
      <w:pPr>
        <w:spacing w:after="60"/>
      </w:pPr>
      <w:r>
        <w:rPr>
          <w:color w:val="6B665C"/>
          <w:spacing w:val="30"/>
          <w:sz w:val="17"/>
          <w:szCs w:val="17"/>
        </w:rPr>
        <w:t xml:space="preserve">ANLAGE 1</w:t>
      </w:r>
    </w:p>
    <w:p>
      <w:pPr>
        <w:pStyle w:val="Title"/>
      </w:pPr>
      <w:r>
        <w:t xml:space="preserve">Freigegebene KI-Werkzeuge (Positivliste)</w:t>
      </w:r>
    </w:p>
    <w:p>
      <w:pPr>
        <w:spacing w:after="200"/>
      </w:pPr>
      <w:r>
        <w:rPr>
          <w:color w:val="1D1E1C"/>
        </w:rPr>
        <w:t xml:space="preserve">Stand </w:t>
      </w:r>
      <w:r>
        <w:rPr>
          <w:color w:val="6B665C"/>
        </w:rPr>
        <w:t xml:space="preserve">[Datum]</w:t>
      </w:r>
      <w:r>
        <w:rPr>
          <w:color w:val="1D1E1C"/>
        </w:rPr>
        <w:t xml:space="preserve"> · gepflegt von </w:t>
      </w:r>
      <w:r>
        <w:rPr>
          <w:color w:val="6B665C"/>
        </w:rPr>
        <w:t xml:space="preserve">[Stelle]</w:t>
      </w:r>
    </w:p>
    <w:p>
      <w:pPr>
        <w:spacing w:after="120" w:line="276"/>
      </w:pPr>
      <w:r>
        <w:rPr>
          <w:color w:val="1D1E1C"/>
        </w:rPr>
        <w:t xml:space="preserve">Nur die hier aufgeführten Werkzeuge dürfen dienstlich genutzt werden, und nur für die genannten Zwecke bis zur genannten Datenklasse (Anlage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050"/>
        <w:gridCol w:w="1550"/>
        <w:gridCol w:w="1500"/>
        <w:gridCol w:w="1500"/>
        <w:gridCol w:w="1338"/>
      </w:tblGrid>
      <w:tr>
        <w:trPr>
          <w:cantSplit/>
          <w:tblHeader/>
        </w:trPr>
        <w:tc>
          <w:tcPr>
            <w:tcW w:type="dxa" w:w="17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Werkzeug</w:t>
            </w:r>
          </w:p>
        </w:tc>
        <w:tc>
          <w:tcPr>
            <w:tcW w:type="dxa" w:w="205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Erlaubte Zwecke</w:t>
            </w:r>
          </w:p>
        </w:tc>
        <w:tc>
          <w:tcPr>
            <w:tcW w:type="dxa" w:w="155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Wer darf es nutzen</w:t>
            </w:r>
          </w:p>
        </w:tc>
        <w:tc>
          <w:tcPr>
            <w:tcW w:type="dxa" w:w="15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Höchste Datenklasse</w:t>
            </w:r>
          </w:p>
        </w:tc>
        <w:tc>
          <w:tcPr>
            <w:tcW w:type="dxa" w:w="15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Besonderheiten</w:t>
            </w:r>
          </w:p>
        </w:tc>
        <w:tc>
          <w:tcPr>
            <w:tcW w:type="dxa" w:w="1338"/>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Freigabe am, durch</w:t>
            </w:r>
          </w:p>
        </w:tc>
      </w:tr>
      <w:tr>
        <w:trPr>
          <w:cantSplit/>
          <w:tblHeader w:val="false"/>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interne KI-Plattform]</w:t>
            </w: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Entwürfe, Zusammenfassungen, Suche in freigegebenen Dokumenten]</w:t>
            </w: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alle Beschäftigten nach Schulung]</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Rot, nur in freigegebenen Apps]</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Websuche ausgeschaltet]</w:t>
            </w: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Übersetzungsfunktion in Office-Software]</w:t>
            </w: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Übersetzen interner Texte]</w:t>
            </w: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alle]</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Gelb]</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frei zugänglicher Dienst ohne Vertrag]</w:t>
            </w: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Formulierungshilfen für öffentliche Texte]</w:t>
            </w: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Öffentlichkeitsarbeit]</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Grün</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[Training und Verlauf abschalten]</w:t>
            </w: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0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5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3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bl>
    <w:p>
      <w:pPr>
        <w:spacing w:after="160"/>
      </w:pPr>
    </w:p>
    <w:p>
      <w:pPr>
        <w:pStyle w:val="Heading2"/>
      </w:pPr>
      <w:r>
        <w:t xml:space="preserve">Nicht freigegeben</w:t>
      </w:r>
    </w:p>
    <w:p>
      <w:pPr>
        <w:spacing w:after="120" w:line="276"/>
      </w:pPr>
      <w:r>
        <w:rPr>
          <w:color w:val="1D1E1C"/>
        </w:rPr>
        <w:t xml:space="preserve">Alle Werkzeuge und KI-Funktionen, die nicht in dieser Liste stehen, sind nicht freigegeben. Anträge auf Freigabe an </w:t>
      </w:r>
      <w:r>
        <w:rPr>
          <w:color w:val="6B665C"/>
        </w:rPr>
        <w:t xml:space="preserve">[Stelle, Kontakt]</w:t>
      </w:r>
      <w:r>
        <w:rPr>
          <w:color w:val="1D1E1C"/>
        </w:rPr>
        <w:t xml:space="preserve">.</w:t>
      </w:r>
    </w:p>
    <w:p>
      <w:r>
        <w:br w:type="page"/>
      </w:r>
    </w:p>
    <w:p>
      <w:pPr>
        <w:spacing w:after="60"/>
      </w:pPr>
      <w:r>
        <w:rPr>
          <w:color w:val="6B665C"/>
          <w:spacing w:val="30"/>
          <w:sz w:val="17"/>
          <w:szCs w:val="17"/>
        </w:rPr>
        <w:t xml:space="preserve">ANLAGE 2</w:t>
      </w:r>
    </w:p>
    <w:p>
      <w:pPr>
        <w:pStyle w:val="Title"/>
      </w:pPr>
      <w:r>
        <w:t xml:space="preserve">Datenampel</w:t>
      </w:r>
    </w:p>
    <w:p>
      <w:pPr>
        <w:spacing w:after="200"/>
      </w:pPr>
      <w:r>
        <w:rPr>
          <w:color w:val="1D1E1C"/>
        </w:rPr>
        <w:t xml:space="preserve">Ordnen Sie Informationen vor der Eingabe einer Klasse zu. Im Zweifel gilt die höhere Klasse.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100"/>
        <w:gridCol w:w="2700"/>
        <w:gridCol w:w="2338"/>
      </w:tblGrid>
      <w:tr>
        <w:trPr>
          <w:cantSplit/>
          <w:tblHeader/>
        </w:trPr>
        <w:tc>
          <w:tcPr>
            <w:tcW w:type="dxa" w:w="15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Klasse</w:t>
            </w:r>
          </w:p>
        </w:tc>
        <w:tc>
          <w:tcPr>
            <w:tcW w:type="dxa" w:w="31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Beispiele</w:t>
            </w:r>
          </w:p>
        </w:tc>
        <w:tc>
          <w:tcPr>
            <w:tcW w:type="dxa" w:w="27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Erlaubte Werkzeuge</w:t>
            </w:r>
          </w:p>
        </w:tc>
        <w:tc>
          <w:tcPr>
            <w:tcW w:type="dxa" w:w="2338"/>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Beispiele aus unserem Haus</w:t>
            </w:r>
          </w:p>
        </w:tc>
      </w:tr>
      <w:tr>
        <w:trPr>
          <w:cantSplit/>
          <w:tblHeader w:val="false"/>
        </w:trPr>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Grün: öffentlich</w:t>
            </w:r>
          </w:p>
        </w:tc>
        <w:tc>
          <w:tcPr>
            <w:tcW w:type="dxa" w:w="31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veröffentlichte Texte, Gesetze, Pressemitteilungen, allgemeines Fachwissen</w:t>
            </w: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alle Werkzeuge in Anlage 1</w:t>
            </w:r>
          </w:p>
        </w:tc>
        <w:tc>
          <w:tcPr>
            <w:tcW w:type="dxa" w:w="23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Einladung zum Sommerfest umformulieren]</w:t>
            </w:r>
          </w:p>
        </w:tc>
      </w:tr>
      <w:tr>
        <w:trPr>
          <w:cantSplit/>
          <w:tblHeader w:val="false"/>
        </w:trPr>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Gelb: intern</w:t>
            </w:r>
          </w:p>
        </w:tc>
        <w:tc>
          <w:tcPr>
            <w:tcW w:type="dxa" w:w="31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Vorlagen, interne Abläufe, Besprechungsnotizen ohne Personenbezug, Entwürfe</w:t>
            </w: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Werkzeuge mit Vertrag und Freigabe für Gelb</w:t>
            </w:r>
          </w:p>
        </w:tc>
        <w:tc>
          <w:tcPr>
            <w:tcW w:type="dxa" w:w="23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Dienstanweisung zusammenfassen]</w:t>
            </w:r>
          </w:p>
        </w:tc>
      </w:tr>
      <w:tr>
        <w:trPr>
          <w:cantSplit/>
          <w:tblHeader w:val="false"/>
        </w:trPr>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Orange: vertraulich</w:t>
            </w:r>
          </w:p>
        </w:tc>
        <w:tc>
          <w:tcPr>
            <w:tcW w:type="dxa" w:w="31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personenbezogene Daten, Verträge, Angebote, Haushalts- und Finanzdaten, Sicherheitsinformationen</w:t>
            </w: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nur Werkzeuge, die für Orange freigegeben sind</w:t>
            </w:r>
          </w:p>
        </w:tc>
        <w:tc>
          <w:tcPr>
            <w:tcW w:type="dxa" w:w="23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Antwort auf eine Anfrage mit Namen entwerfen]</w:t>
            </w:r>
          </w:p>
        </w:tc>
      </w:tr>
      <w:tr>
        <w:trPr>
          <w:cantSplit/>
          <w:tblHeader w:val="false"/>
        </w:trPr>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Rot: besonders geschützt</w:t>
            </w:r>
          </w:p>
        </w:tc>
        <w:tc>
          <w:tcPr>
            <w:tcW w:type="dxa" w:w="31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Gesundheits-, Sozial- und Personaldaten; Daten unter Schweigepflicht, Steuer-, Sozial-, Melde- oder Amtsgeheimnis; Verschlusssachen; Zugangsdaten</w:t>
            </w: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nur Werkzeuge, die für genau diese Daten freigegeben sind; Zugangsdaten und Verschlusssachen nie</w:t>
            </w:r>
          </w:p>
        </w:tc>
        <w:tc>
          <w:tcPr>
            <w:tcW w:type="dxa" w:w="23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Pflegebericht nur in [Werkzeug]</w:t>
            </w:r>
            <w:r>
              <w:rPr>
                <w:b w:val="false"/>
                <w:bCs w:val="false"/>
                <w:color w:val="1D1E1C"/>
                <w:sz w:val="20"/>
                <w:szCs w:val="20"/>
              </w:rPr>
              <w:t xml:space="preserv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2EE" w:color="auto" w:val="clear"/>
            <w:tcMar>
              <w:top w:type="dxa" w:w="160"/>
              <w:left w:type="dxa" w:w="200"/>
              <w:bottom w:type="dxa" w:w="160"/>
              <w:right w:type="dxa" w:w="200"/>
            </w:tcMar>
          </w:tcPr>
          <w:p>
            <w:pPr>
              <w:spacing w:after="80"/>
            </w:pPr>
            <w:r>
              <w:rPr>
                <w:b/>
                <w:bCs/>
                <w:sz w:val="20"/>
                <w:szCs w:val="20"/>
              </w:rPr>
              <w:t xml:space="preserve">Hinweise</w:t>
            </w:r>
          </w:p>
          <w:p>
            <w:pPr>
              <w:pStyle w:val="ListParagraph"/>
              <w:numPr>
                <w:ilvl w:val="0"/>
                <w:numId w:val="2"/>
              </w:numPr>
              <w:spacing w:after="60"/>
            </w:pPr>
            <w:r>
              <w:rPr>
                <w:color w:val="3D3A35"/>
                <w:sz w:val="19"/>
                <w:szCs w:val="19"/>
              </w:rPr>
              <w:t xml:space="preserve">Auch ohne Namen können Informationen auf Personen schließen lassen, etwa über Aktenzeichen, Adressen, seltene Diagnosen oder Einzelheiten eines Falls.</w:t>
            </w:r>
          </w:p>
          <w:p>
            <w:pPr>
              <w:pStyle w:val="ListParagraph"/>
              <w:numPr>
                <w:ilvl w:val="0"/>
                <w:numId w:val="2"/>
              </w:numPr>
              <w:spacing w:after="60"/>
            </w:pPr>
            <w:r>
              <w:rPr>
                <w:color w:val="3D3A35"/>
                <w:sz w:val="19"/>
                <w:szCs w:val="19"/>
              </w:rPr>
              <w:t xml:space="preserve">Interne Vorgänge bleiben vertraulich, auch wenn keine Person darin vorkommt.</w:t>
            </w:r>
          </w:p>
          <w:p>
            <w:pPr>
              <w:pStyle w:val="ListParagraph"/>
              <w:numPr>
                <w:ilvl w:val="0"/>
                <w:numId w:val="2"/>
              </w:numPr>
              <w:spacing w:after="60"/>
            </w:pPr>
            <w:r>
              <w:rPr>
                <w:color w:val="3D3A35"/>
                <w:sz w:val="19"/>
                <w:szCs w:val="19"/>
              </w:rPr>
              <w:t xml:space="preserve">Für Klasse Rot sind je nach Bereich Vertrag zur Auftragsverarbeitung, Verpflichtung zur Verschwiegenheit, Datenschutz-Folgenabschätzung und weitere Nachweise nötig. Die Freigabe nach Anlage 1 berücksichtigt das.</w:t>
            </w:r>
          </w:p>
        </w:tc>
      </w:tr>
    </w:tbl>
    <w:p>
      <w:r>
        <w:br w:type="page"/>
      </w:r>
    </w:p>
    <w:p>
      <w:pPr>
        <w:spacing w:after="60"/>
      </w:pPr>
      <w:r>
        <w:rPr>
          <w:color w:val="6B665C"/>
          <w:spacing w:val="30"/>
          <w:sz w:val="17"/>
          <w:szCs w:val="17"/>
        </w:rPr>
        <w:t xml:space="preserve">ANLAGE 3 · MERKBLATT</w:t>
      </w:r>
    </w:p>
    <w:p>
      <w:pPr>
        <w:pStyle w:val="Title"/>
      </w:pPr>
      <w:r>
        <w:t xml:space="preserve">KI im Alltag: die 10 wichtigsten Regeln</w:t>
      </w:r>
    </w:p>
    <w:p>
      <w:pPr>
        <w:spacing w:after="240"/>
      </w:pPr>
      <w:r>
        <w:rPr>
          <w:color w:val="6B665C"/>
        </w:rPr>
        <w:t xml:space="preserve">[Name der Organisation]</w:t>
      </w:r>
      <w:r>
        <w:rPr>
          <w:color w:val="1D1E1C"/>
        </w:rPr>
        <w:t xml:space="preserve"> · Stand </w:t>
      </w:r>
      <w:r>
        <w:rPr>
          <w:color w:val="6B665C"/>
        </w:rPr>
        <w:t xml:space="preserve">[Datum]</w:t>
      </w:r>
      <w:r>
        <w:rPr>
          <w:color w:val="1D1E1C"/>
        </w:rPr>
        <w:t xml:space="preserve"> · Vollständige Richtlinie: </w:t>
      </w:r>
      <w:r>
        <w:rPr>
          <w:color w:val="6B665C"/>
        </w:rPr>
        <w:t xml:space="preserve">[Fundstelle]</w:t>
      </w:r>
    </w:p>
    <w:p>
      <w:pPr>
        <w:pStyle w:val="ListParagraph"/>
        <w:numPr>
          <w:ilvl w:val="0"/>
          <w:numId w:val="3"/>
        </w:numPr>
        <w:spacing w:after="80" w:line="276"/>
      </w:pPr>
      <w:r>
        <w:rPr>
          <w:b/>
          <w:bCs/>
        </w:rPr>
        <w:t xml:space="preserve">Nur freigegebene Werkzeuge. </w:t>
      </w:r>
      <w:r>
        <w:rPr>
          <w:color w:val="1D1E1C"/>
        </w:rPr>
        <w:t xml:space="preserve">Für dienstliche Aufgaben nutzen Sie nur </w:t>
      </w:r>
      <w:r>
        <w:rPr>
          <w:color w:val="6B665C"/>
        </w:rPr>
        <w:t xml:space="preserve">[Werkzeuge aus Anlage 1]</w:t>
      </w:r>
      <w:r>
        <w:rPr>
          <w:color w:val="1D1E1C"/>
        </w:rPr>
        <w:t xml:space="preserve">.</w:t>
      </w:r>
    </w:p>
    <w:p>
      <w:pPr>
        <w:pStyle w:val="ListParagraph"/>
        <w:numPr>
          <w:ilvl w:val="0"/>
          <w:numId w:val="3"/>
        </w:numPr>
        <w:spacing w:after="80" w:line="276"/>
      </w:pPr>
      <w:r>
        <w:rPr>
          <w:b/>
          <w:bCs/>
        </w:rPr>
        <w:t xml:space="preserve">Erst einordnen, dann eingeben. </w:t>
      </w:r>
      <w:r>
        <w:t xml:space="preserve">Grün, Gelb, Orange oder Rot? Im Zweifel die höhere Klasse.</w:t>
      </w:r>
    </w:p>
    <w:p>
      <w:pPr>
        <w:pStyle w:val="ListParagraph"/>
        <w:numPr>
          <w:ilvl w:val="0"/>
          <w:numId w:val="3"/>
        </w:numPr>
        <w:spacing w:after="80" w:line="276"/>
      </w:pPr>
      <w:r>
        <w:rPr>
          <w:b/>
          <w:bCs/>
        </w:rPr>
        <w:t xml:space="preserve">Keine dienstlichen Daten in private Konten. </w:t>
      </w:r>
      <w:r>
        <w:t xml:space="preserve">Auch nicht „nur kurz“.</w:t>
      </w:r>
    </w:p>
    <w:p>
      <w:pPr>
        <w:pStyle w:val="ListParagraph"/>
        <w:numPr>
          <w:ilvl w:val="0"/>
          <w:numId w:val="3"/>
        </w:numPr>
        <w:spacing w:after="80" w:line="276"/>
      </w:pPr>
      <w:r>
        <w:rPr>
          <w:b/>
          <w:bCs/>
        </w:rPr>
        <w:t xml:space="preserve">So wenig wie nötig. </w:t>
      </w:r>
      <w:r>
        <w:t xml:space="preserve">Namen und Merkmale weglassen, wo es geht. Passwörter nie.</w:t>
      </w:r>
    </w:p>
    <w:p>
      <w:pPr>
        <w:pStyle w:val="ListParagraph"/>
        <w:numPr>
          <w:ilvl w:val="0"/>
          <w:numId w:val="3"/>
        </w:numPr>
        <w:spacing w:after="80" w:line="276"/>
      </w:pPr>
      <w:r>
        <w:rPr>
          <w:b/>
          <w:bCs/>
        </w:rPr>
        <w:t xml:space="preserve">Ergebnisse sind Entwürfe. </w:t>
      </w:r>
      <w:r>
        <w:t xml:space="preserve">Zahlen, Namen, Fristen und Paragraphen an der Quelle prüfen.</w:t>
      </w:r>
    </w:p>
    <w:p>
      <w:pPr>
        <w:pStyle w:val="ListParagraph"/>
        <w:numPr>
          <w:ilvl w:val="0"/>
          <w:numId w:val="3"/>
        </w:numPr>
        <w:spacing w:after="80" w:line="276"/>
      </w:pPr>
      <w:r>
        <w:rPr>
          <w:b/>
          <w:bCs/>
        </w:rPr>
        <w:t xml:space="preserve">Sie entscheiden. </w:t>
      </w:r>
      <w:r>
        <w:t xml:space="preserve">Über Menschen entscheidet ein Mensch, nicht die KI.</w:t>
      </w:r>
    </w:p>
    <w:p>
      <w:pPr>
        <w:pStyle w:val="ListParagraph"/>
        <w:numPr>
          <w:ilvl w:val="0"/>
          <w:numId w:val="3"/>
        </w:numPr>
        <w:spacing w:after="80" w:line="276"/>
      </w:pPr>
      <w:r>
        <w:rPr>
          <w:b/>
          <w:bCs/>
        </w:rPr>
        <w:t xml:space="preserve">Vor dem Versand lesen. </w:t>
      </w:r>
      <w:r>
        <w:t xml:space="preserve">Was das Haus verlässt, hat ein Mensch geprüft.</w:t>
      </w:r>
    </w:p>
    <w:p>
      <w:pPr>
        <w:pStyle w:val="ListParagraph"/>
        <w:numPr>
          <w:ilvl w:val="0"/>
          <w:numId w:val="3"/>
        </w:numPr>
        <w:spacing w:after="80" w:line="276"/>
      </w:pPr>
      <w:r>
        <w:rPr>
          <w:b/>
          <w:bCs/>
        </w:rPr>
        <w:t xml:space="preserve">KI-Bilder kennzeichnen. </w:t>
      </w:r>
      <w:r>
        <w:t xml:space="preserve">Bilder, Videos und Ton, die echt wirken könnten, als KI-erzeugt markieren.</w:t>
      </w:r>
    </w:p>
    <w:p>
      <w:pPr>
        <w:pStyle w:val="ListParagraph"/>
        <w:numPr>
          <w:ilvl w:val="0"/>
          <w:numId w:val="3"/>
        </w:numPr>
        <w:spacing w:after="80" w:line="276"/>
      </w:pPr>
      <w:r>
        <w:rPr>
          <w:b/>
          <w:bCs/>
        </w:rPr>
        <w:t xml:space="preserve">Aktionen bestätigen. </w:t>
      </w:r>
      <w:r>
        <w:t xml:space="preserve">Versenden, Ändern oder Löschen durch KI erst nach Ihrer Bestätigung.</w:t>
      </w:r>
    </w:p>
    <w:p>
      <w:pPr>
        <w:pStyle w:val="ListParagraph"/>
        <w:numPr>
          <w:ilvl w:val="0"/>
          <w:numId w:val="3"/>
        </w:numPr>
        <w:spacing w:after="80" w:line="276"/>
      </w:pPr>
      <w:r>
        <w:rPr>
          <w:b/>
          <w:bCs/>
        </w:rPr>
        <w:t xml:space="preserve">Fehler melden. </w:t>
      </w:r>
      <w:r>
        <w:rPr>
          <w:color w:val="1D1E1C"/>
        </w:rPr>
        <w:t xml:space="preserve">Falsche Eingabe oder falsches Ergebnis? Sofort an </w:t>
      </w:r>
      <w:r>
        <w:rPr>
          <w:color w:val="6B665C"/>
        </w:rPr>
        <w:t xml:space="preserve">[Kontakt]</w:t>
      </w:r>
      <w:r>
        <w:rPr>
          <w:color w:val="1D1E1C"/>
        </w:rPr>
        <w:t xml:space="preserve">. Melden hilft.</w:t>
      </w:r>
    </w:p>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Fragen zur KI</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[Name oder Stelle, Kontakt]</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Datenschutz</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[Kontakt]</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Informationssicherheit</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[Kontakt]</w:t>
            </w:r>
          </w:p>
        </w:tc>
      </w:tr>
    </w:tbl>
    <w:p>
      <w:r>
        <w:br w:type="page"/>
      </w:r>
    </w:p>
    <w:p>
      <w:pPr>
        <w:spacing w:after="60"/>
      </w:pPr>
      <w:r>
        <w:rPr>
          <w:color w:val="6B665C"/>
          <w:spacing w:val="30"/>
          <w:sz w:val="17"/>
          <w:szCs w:val="17"/>
        </w:rPr>
        <w:t xml:space="preserve">ANLAGE 4</w:t>
      </w:r>
    </w:p>
    <w:p>
      <w:pPr>
        <w:pStyle w:val="Title"/>
      </w:pPr>
      <w:r>
        <w:t xml:space="preserve">Änderungsprotokoll</w:t>
      </w:r>
    </w:p>
    <w:p>
      <w:pPr>
        <w:spacing w:after="200"/>
      </w:pPr>
      <w:r>
        <w:rPr>
          <w:color w:val="1D1E1C"/>
        </w:rPr>
        <w:t xml:space="preserve">Jede Änderung der Richtlinie und ihrer Anlagen wird hier festgehalten.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700"/>
        <w:gridCol w:w="1900"/>
        <w:gridCol w:w="2238"/>
      </w:tblGrid>
      <w:tr>
        <w:trPr>
          <w:cantSplit/>
          <w:tblHeader/>
        </w:trPr>
        <w:tc>
          <w:tcPr>
            <w:tcW w:type="dxa" w:w="13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Datum</w:t>
            </w:r>
          </w:p>
        </w:tc>
        <w:tc>
          <w:tcPr>
            <w:tcW w:type="dxa" w:w="15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Abschnitt, Anlage</w:t>
            </w:r>
          </w:p>
        </w:tc>
        <w:tc>
          <w:tcPr>
            <w:tcW w:type="dxa" w:w="27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Änderung</w:t>
            </w:r>
          </w:p>
        </w:tc>
        <w:tc>
          <w:tcPr>
            <w:tcW w:type="dxa" w:w="19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Grund</w:t>
            </w:r>
          </w:p>
        </w:tc>
        <w:tc>
          <w:tcPr>
            <w:tcW w:type="dxa" w:w="2238"/>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Beteiligung (Datenschutz, Vertretung)</w:t>
            </w:r>
          </w:p>
        </w:tc>
      </w:tr>
      <w:tr>
        <w:trPr>
          <w:cantSplit/>
          <w:tblHeader w:val="false"/>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[Datum]</w:t>
            </w: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gesamte Richtlinie</w:t>
            </w: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1D1E1C"/>
                <w:sz w:val="20"/>
                <w:szCs w:val="20"/>
              </w:rPr>
              <w:t xml:space="preserve">Erstfassung 1.0</w:t>
            </w: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Einführung KI-Werkzeuge]</w:t>
            </w: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Datenschutz am …, Personalrat am …]</w:t>
            </w: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r>
        <w:trPr>
          <w:cantSplit/>
          <w:tblHeader w:val="false"/>
          <w:trHeight w:val="520" w:hRule="atLeast"/>
        </w:trPr>
        <w:tc>
          <w:tcPr>
            <w:tcW w:type="dxa" w:w="13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5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7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1900"/>
            <w:tcBorders>
              <w:top w:val="single" w:color="CFC9BD" w:sz="4"/>
              <w:left w:val="single" w:color="CFC9BD" w:sz="4"/>
              <w:bottom w:val="single" w:color="CFC9BD" w:sz="4"/>
              <w:right w:val="single" w:color="CFC9BD" w:sz="4"/>
            </w:tcBorders>
            <w:tcMar>
              <w:top w:type="dxa" w:w="90"/>
              <w:left w:type="dxa" w:w="120"/>
              <w:bottom w:type="dxa" w:w="90"/>
              <w:right w:type="dxa" w:w="120"/>
            </w:tcMar>
          </w:tcPr>
          <w:p/>
        </w:tc>
        <w:tc>
          <w:tcPr>
            <w:tcW w:type="dxa" w:w="2238"/>
            <w:tcBorders>
              <w:top w:val="single" w:color="CFC9BD" w:sz="4"/>
              <w:left w:val="single" w:color="CFC9BD" w:sz="4"/>
              <w:bottom w:val="single" w:color="CFC9BD" w:sz="4"/>
              <w:right w:val="single" w:color="CFC9BD" w:sz="4"/>
            </w:tcBorders>
            <w:tcMar>
              <w:top w:type="dxa" w:w="90"/>
              <w:left w:type="dxa" w:w="120"/>
              <w:bottom w:type="dxa" w:w="90"/>
              <w:right w:type="dxa" w:w="120"/>
            </w:tcMar>
          </w:tcP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Nächste regelmäßige Überprüfung</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[Datum]</w:t>
            </w:r>
          </w:p>
        </w:tc>
      </w:tr>
      <w:tr>
        <w:trPr>
          <w:cantSplit/>
        </w:trPr>
        <w:tc>
          <w:tcPr>
            <w:tcW w:type="dxa" w:w="3000"/>
            <w:tcBorders>
              <w:top w:val="single" w:color="CFC9BD" w:sz="4"/>
              <w:left w:val="single" w:color="CFC9BD" w:sz="4"/>
              <w:bottom w:val="single" w:color="CFC9BD" w:sz="4"/>
              <w:right w:val="single" w:color="CFC9BD" w:sz="4"/>
            </w:tcBorders>
            <w:shd w:fill="F4F2EE" w:color="auto" w:val="clear"/>
            <w:tcMar>
              <w:top w:type="dxa" w:w="90"/>
              <w:left w:type="dxa" w:w="120"/>
              <w:bottom w:type="dxa" w:w="90"/>
              <w:right w:type="dxa" w:w="120"/>
            </w:tcMar>
          </w:tcPr>
          <w:p>
            <w:r>
              <w:rPr>
                <w:b/>
                <w:bCs/>
                <w:color w:val="1D1E1C"/>
                <w:sz w:val="20"/>
                <w:szCs w:val="20"/>
              </w:rPr>
              <w:t xml:space="preserve">Anlässe für eine außerplanmäßige Prüfung</w:t>
            </w:r>
          </w:p>
        </w:tc>
        <w:tc>
          <w:tcPr>
            <w:tcW w:type="dxa" w:w="6638"/>
            <w:tcBorders>
              <w:top w:val="single" w:color="CFC9BD" w:sz="4"/>
              <w:left w:val="single" w:color="CFC9BD" w:sz="4"/>
              <w:bottom w:val="single" w:color="CFC9BD" w:sz="4"/>
              <w:right w:val="single" w:color="CFC9BD" w:sz="4"/>
            </w:tcBorders>
            <w:tcMar>
              <w:top w:type="dxa" w:w="90"/>
              <w:left w:type="dxa" w:w="120"/>
              <w:bottom w:type="dxa" w:w="90"/>
              <w:right w:type="dxa" w:w="120"/>
            </w:tcMar>
          </w:tcPr>
          <w:p>
            <w:r>
              <w:rPr>
                <w:b w:val="false"/>
                <w:bCs w:val="false"/>
                <w:color w:val="6B665C"/>
                <w:sz w:val="20"/>
                <w:szCs w:val="20"/>
              </w:rPr>
              <w:t xml:space="preserve">[z. B. neues Werkzeug, neue KI-Funktion, Gesetzesänderung, Vorfall]</w:t>
            </w:r>
          </w:p>
        </w:tc>
      </w:tr>
    </w:tbl>
    <w:sectPr>
      <w:footerReference w:type="default" r:id="rId6"/>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color w:val="6B665C"/>
        <w:sz w:val="16"/>
        <w:szCs w:val="16"/>
      </w:rPr>
      <w:t xml:space="preserve">Vorlage: basebox · basebox.ai · unverbindlich, keine Rechtsberatung</w:t>
    </w:r>
    <w:r>
      <w:rPr>
        <w:color w:val="6B665C"/>
        <w:sz w:val="16"/>
        <w:szCs w:val="16"/>
      </w:rPr>
      <w:t xml:space="preserve">	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4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1E1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pPr>
      <w:spacing w:after="80"/>
    </w:pPr>
    <w:rPr>
      <w:rFonts w:ascii="Cambria" w:cs="Cambria" w:eastAsia="Cambria" w:hAnsi="Cambria"/>
      <w:b/>
      <w:bCs/>
      <w:color w:val="1D1E1C"/>
      <w:sz w:val="40"/>
      <w:szCs w:val="40"/>
    </w:rPr>
  </w:style>
  <w:style w:type="paragraph" w:styleId="Heading1">
    <w:name w:val="Heading 1"/>
    <w:basedOn w:val="Normal"/>
    <w:next w:val="Normal"/>
    <w:qFormat/>
    <w:pPr>
      <w:keepNext/>
      <w:keepLines/>
      <w:spacing w:before="320" w:after="120"/>
      <w:outlineLvl w:val="0"/>
    </w:pPr>
    <w:rPr>
      <w:rFonts w:ascii="Cambria" w:cs="Cambria" w:eastAsia="Cambria" w:hAnsi="Cambria"/>
      <w:b/>
      <w:bCs/>
      <w:color w:val="1D1E1C"/>
      <w:sz w:val="28"/>
      <w:szCs w:val="28"/>
    </w:rPr>
  </w:style>
  <w:style w:type="paragraph" w:styleId="Heading2">
    <w:name w:val="Heading 2"/>
    <w:basedOn w:val="Normal"/>
    <w:next w:val="Normal"/>
    <w:qFormat/>
    <w:pPr>
      <w:keepNext/>
      <w:keepLines/>
      <w:spacing w:before="240" w:after="100"/>
      <w:outlineLvl w:val="1"/>
    </w:pPr>
    <w:rPr>
      <w:rFonts w:ascii="Cambria" w:cs="Cambria" w:eastAsia="Cambria" w:hAnsi="Cambria"/>
      <w:b/>
      <w:bCs/>
      <w:color w:val="1D1E1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KI-Richtlinie für Mitarbeitende</dc:title>
  <dc:creator>basebox GmbH</dc:creator>
  <dc:description>Vorlage: Richtlinie zur Nutzung von KI durch Beschäftigte, mit Positivliste, Datenampel, Merkblatt und Änderungsprotokoll. Unverbindlich, keine Rechtsberatung.</dc:description>
  <cp:lastModifiedBy>Un-named</cp:lastModifiedBy>
  <cp:revision>1</cp:revision>
  <dcterms:created xsi:type="dcterms:W3CDTF">2026-10-12T21:29:40.822Z</dcterms:created>
  <dcterms:modified xsi:type="dcterms:W3CDTF">2026-10-12T21:29:40.823Z</dcterms:modified>
</cp:coreProperties>
</file>

<file path=docProps/custom.xml><?xml version="1.0" encoding="utf-8"?>
<Properties xmlns="http://schemas.openxmlformats.org/officeDocument/2006/custom-properties" xmlns:vt="http://schemas.openxmlformats.org/officeDocument/2006/docPropsVTypes"/>
</file>