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Anlage: Vereinbarung zur Geheimhaltung nach Art. 321 und Art. 320 StGB (Schweiz)</w:t>
      </w:r>
    </w:p>
    <w:p>
      <w:pPr>
        <w:spacing w:after="60"/>
      </w:pPr>
      <w:r>
        <w:rPr>
          <w:color w:val="6B665C"/>
          <w:sz w:val="20"/>
          <w:szCs w:val="20"/>
        </w:rPr>
        <w:t xml:space="preserve">Zum Software-Lizenzvertrag basebox KI-Plattform</w:t>
      </w:r>
    </w:p>
    <w:p>
      <w:pPr>
        <w:spacing w:after="60"/>
      </w:pPr>
      <w:r>
        <w:rPr>
          <w:color w:val="6B665C"/>
          <w:sz w:val="20"/>
          <w:szCs w:val="20"/>
        </w:rPr>
        <w:t xml:space="preserve">Version: 11.10.2026</w:t>
      </w:r>
    </w:p>
    <w:p>
      <w:pPr>
        <w:spacing w:after="280"/>
      </w:pPr>
      <w:r>
        <w:rPr>
          <w:b/>
          <w:bCs/>
          <w:color w:val="1D1E1C"/>
          <w:sz w:val="20"/>
          <w:szCs w:val="20"/>
        </w:rPr>
        <w:t xml:space="preserve">Gilt nur zusammen mit dem Lizenzvertrag und der AVV.</w:t>
      </w:r>
    </w:p>
    <w:p>
      <w:pPr>
        <w:pStyle w:val="Heading1"/>
      </w:pPr>
      <w:r>
        <w:t xml:space="preserve">1. Geltung dieser Anlage</w:t>
      </w:r>
    </w:p>
    <w:p>
      <w:pPr>
        <w:spacing w:after="120" w:line="276"/>
      </w:pPr>
      <w:r>
        <w:t xml:space="preserve">(1) Diese Anlage gilt, wenn der Kunde oder für ihn tätige Personen dem Berufsgeheimnis nach Art. 321 des Schweizerischen Strafgesetzbuchs (StGB) oder dem Amtsgeheimnis nach Art. 320 StGB unterliegen und die Anlage im Angebot einbezogen ist. Sie gilt auch für geheime Personendaten im Sinne von Art. 62 des Bundesgesetzes über den Datenschutz (DSG).</w:t>
      </w:r>
    </w:p>
    <w:p>
      <w:pPr>
        <w:spacing w:after="120" w:line="276"/>
      </w:pPr>
      <w:r>
        <w:t xml:space="preserve">(2) Diese Anlage ist kein eigenständiger Vertrag. Sie ergänzt den Software-Lizenzvertrag, die Auftragsverarbeitungsvereinbarung (AVV) und die Ergänzung zur AVV für Kunden in der Schweiz. Begriffe, die hier nicht definiert sind, haben die Bedeutung aus diesen Dokumenten.</w:t>
      </w:r>
    </w:p>
    <w:p>
      <w:pPr>
        <w:pStyle w:val="Heading1"/>
      </w:pPr>
      <w:r>
        <w:t xml:space="preserve">2. basebox als Hilfsperson</w:t>
      </w:r>
    </w:p>
    <w:p>
      <w:pPr>
        <w:spacing w:after="120" w:line="276"/>
      </w:pPr>
      <w:r>
        <w:t xml:space="preserve">(1) Der Kunde zieht basebox zur Erbringung der vereinbarten Leistungen bei. basebox kann dabei Kenntnis von Geheimnissen erlangen, die den Berufsgeheimnisträgern oder Amtsträgern des Kunden anvertraut wurden oder die diese in ihrer Tätigkeit wahrgenommen haben. basebox und die für basebox tätigen Personen handeln insoweit als Hilfspersonen im Sinne von Art. 321 und Art. 320 StGB.</w:t>
      </w:r>
    </w:p>
    <w:p>
      <w:pPr>
        <w:spacing w:after="120" w:line="276"/>
      </w:pPr>
      <w:r>
        <w:t xml:space="preserve">(2) Geheimnisse sind alle Tatsachen, die nur einem begrenzten Personenkreis bekannt sind und an deren Geheimhaltung die betroffene Person ein berechtigtes Interesse hat. Dazu gehören insbesondere alle Informationen über Patientinnen und Patienten, Klientinnen und Klienten, Bürgerinnen und Bürger sowie schon die Tatsache einer Behandlung, eines Mandats oder eines Verfahrens.</w:t>
      </w:r>
    </w:p>
    <w:p>
      <w:pPr>
        <w:spacing w:after="120" w:line="276"/>
      </w:pPr>
      <w:r>
        <w:t xml:space="preserve">(3) Der Kunde stellt sicher, dass der Beizug von basebox nach dem für ihn geltenden Recht zulässig ist, insbesondere nach seinem Berufs- und Standesrecht, nach kantonalen Vorschriften zur Auslagerung und, bei Behörden, nach den Vorgaben seiner vorgesetzten Behörde.</w:t>
      </w:r>
    </w:p>
    <w:p>
      <w:pPr>
        <w:pStyle w:val="Heading1"/>
      </w:pPr>
      <w:r>
        <w:t xml:space="preserve">3. Hinweis auf die Strafbarkeit</w:t>
      </w:r>
    </w:p>
    <w:p>
      <w:pPr>
        <w:spacing w:after="120" w:line="276"/>
      </w:pPr>
      <w:r>
        <w:t xml:space="preserve">(1) Wer als Hilfsperson eines Berufsgeheimnisträgers ein Geheimnis offenbart, das ihm in dieser Tätigkeit anvertraut worden ist oder das er dabei wahrgenommen hat, wird auf Antrag mit Freiheitsstrafe bis zu drei Jahren oder Geldstrafe bestraft (Art. 321 Ziff. 1 StGB).</w:t>
      </w:r>
    </w:p>
    <w:p>
      <w:pPr>
        <w:spacing w:after="120" w:line="276"/>
      </w:pPr>
      <w:r>
        <w:t xml:space="preserve">(2) Wer ein Geheimnis offenbart, das er als Hilfsperson eines Beamten oder einer Behörde wahrgenommen hat, wird mit Freiheitsstrafe bis zu drei Jahren oder Geldstrafe bestraft (Art. 320 Ziff. 1 StGB). Die Verletzung des Amtsgeheimnisses wird von Amtes wegen verfolgt.</w:t>
      </w:r>
    </w:p>
    <w:p>
      <w:pPr>
        <w:spacing w:after="120" w:line="276"/>
      </w:pPr>
      <w:r>
        <w:t xml:space="preserve">(3) Die Strafbarkeit besteht auch nach Ende der Tätigkeit für den Kunden und nach Ende des Arbeitsverhältnisses fort (Art. 320 Ziff. 1 Abs. 2, Art. 321 Ziff. 1 Abs. 3 StGB).</w:t>
      </w:r>
    </w:p>
    <w:p>
      <w:pPr>
        <w:spacing w:after="120" w:line="276"/>
      </w:pPr>
      <w:r>
        <w:t xml:space="preserve">(4) Wer vorsätzlich geheime Personendaten offenbart, von denen er bei der Tätigkeit für eine geheimhaltungspflichtige Person Kenntnis erlangt hat, wird auf Antrag mit Busse bis zu 250 000 Franken bestraft (Art. 62 Abs. 2 DSG).</w:t>
      </w:r>
    </w:p>
    <w:p>
      <w:pPr>
        <w:spacing w:after="120" w:line="276"/>
      </w:pPr>
      <w:r>
        <w:t xml:space="preserve">(5) Die Strafandrohungen gelten für die natürlichen Personen, die für basebox tätig sind.</w:t>
      </w:r>
    </w:p>
    <w:p>
      <w:pPr>
        <w:pStyle w:val="Heading1"/>
      </w:pPr>
      <w:r>
        <w:t xml:space="preserve">4. Pflichten von basebox</w:t>
      </w:r>
    </w:p>
    <w:p>
      <w:pPr>
        <w:spacing w:after="120" w:line="276"/>
      </w:pPr>
      <w:r>
        <w:t xml:space="preserve">(1) basebox wahrt die Vertraulichkeit aller Geheimnisse, die ihr bei der Erbringung der Leistungen zugänglich werden.</w:t>
      </w:r>
    </w:p>
    <w:p>
      <w:pPr>
        <w:spacing w:after="120" w:line="276"/>
      </w:pPr>
      <w:r>
        <w:t xml:space="preserve">(2) basebox verschafft sich Kenntnis von Geheimnissen nur, soweit dies für die vereinbarten Leistungen erforderlich ist. Der Zugriff auf Daten des Kunden ist auf die Personen beschränkt, die ihn für ihre Aufgabe brauchen.</w:t>
      </w:r>
    </w:p>
    <w:p>
      <w:pPr>
        <w:spacing w:after="120" w:line="276"/>
      </w:pPr>
      <w:r>
        <w:t xml:space="preserve">(3) basebox trifft angemessene technische und organisatorische Maßnahmen zum Schutz der Geheimnisse nach dem Stand der Technik (TOM-Anlage).</w:t>
      </w:r>
    </w:p>
    <w:p>
      <w:pPr>
        <w:spacing w:after="120" w:line="276"/>
      </w:pPr>
      <w:r>
        <w:t xml:space="preserve">(4) basebox verwendet Geheimnisse und Daten des Kunden nicht zu eigenen Zwecken und nicht zum Training von KI-Modellen.</w:t>
      </w:r>
    </w:p>
    <w:p>
      <w:pPr>
        <w:pStyle w:val="Heading1"/>
      </w:pPr>
      <w:r>
        <w:t xml:space="preserve">5. Verpflichtung der Beschäftigten</w:t>
      </w:r>
    </w:p>
    <w:p>
      <w:pPr>
        <w:spacing w:after="120" w:line="276"/>
      </w:pPr>
      <w:r>
        <w:t xml:space="preserve">(1) basebox setzt für die Leistungen nur Personen ein, die vorher schriftlich zur Geheimhaltung verpflichtet wurden. Die Verpflichtung umfasst den Hinweis auf die Strafbarkeit nach Ziffer 3 und gilt über das Ende des Arbeitsverhältnisses hinaus.</w:t>
      </w:r>
    </w:p>
    <w:p>
      <w:pPr>
        <w:spacing w:after="120" w:line="276"/>
      </w:pPr>
      <w:r>
        <w:t xml:space="preserve">(2) basebox weist dem Kunden die Verpflichtung auf Anfrage nach, etwa durch ein Muster der Verpflichtungserklärung und eine Bestätigung, dass alle eingesetzten Personen verpflichtet sind.</w:t>
      </w:r>
    </w:p>
    <w:p>
      <w:pPr>
        <w:pStyle w:val="Heading1"/>
      </w:pPr>
      <w:r>
        <w:t xml:space="preserve">6. Einbeziehung Dritter</w:t>
      </w:r>
    </w:p>
    <w:p>
      <w:pPr>
        <w:spacing w:after="120" w:line="276"/>
      </w:pPr>
      <w:r>
        <w:t xml:space="preserve">(1) basebox darf Dritte, etwa Unterauftragsverarbeiter, nur nach der AVV und der Ergänzung zur AVV für Kunden in der Schweiz in die Leistungen einbeziehen.</w:t>
      </w:r>
    </w:p>
    <w:p>
      <w:pPr>
        <w:spacing w:after="120" w:line="276"/>
      </w:pPr>
      <w:r>
        <w:t xml:space="preserve">(2) Können Dritte dabei Kenntnis von Geheimnissen erlangen, verpflichtet basebox sie vorher schriftlich zur Geheimhaltung in gleichem Umfang wie nach dieser Anlage, mit Hinweis auf die Strafbarkeit, und verlangt, dass sie ihre eingesetzten Personen ebenso verpflichten.</w:t>
      </w:r>
    </w:p>
    <w:p>
      <w:pPr>
        <w:spacing w:after="120" w:line="276"/>
      </w:pPr>
      <w:r>
        <w:t xml:space="preserve">(3) basebox informiert den Kunden vorab über jede geplante Einbeziehung weiterer Dritter. Der Kunde kann aus wichtigem Grund widersprechen; das Verfahren richtet sich nach Ziffer 11.2 AVV.</w:t>
      </w:r>
    </w:p>
    <w:p>
      <w:pPr>
        <w:pStyle w:val="Heading1"/>
      </w:pPr>
      <w:r>
        <w:t xml:space="preserve">7. Herausgabeverlangen von Behörden</w:t>
      </w:r>
    </w:p>
    <w:p>
      <w:pPr>
        <w:spacing w:after="120" w:line="276"/>
      </w:pPr>
      <w:r>
        <w:t xml:space="preserve">(1) Verlangt eine Behörde oder ein Gericht von basebox die Herausgabe von Daten des Kunden, informiert basebox den Kunden vorher, soweit dies zulässig ist, damit er seine Rechte wahren kann.</w:t>
      </w:r>
    </w:p>
    <w:p>
      <w:pPr>
        <w:spacing w:after="120" w:line="276"/>
      </w:pPr>
      <w:r>
        <w:t xml:space="preserve">(2) basebox gibt nur heraus, wozu sie rechtlich verpflichtet ist, und nur im erforderlichen Umfang.</w:t>
      </w:r>
    </w:p>
    <w:p>
      <w:pPr>
        <w:pStyle w:val="Heading1"/>
      </w:pPr>
      <w:r>
        <w:t xml:space="preserve">8. Dauer und Ausnahmen</w:t>
      </w:r>
    </w:p>
    <w:p>
      <w:pPr>
        <w:spacing w:after="120" w:line="276"/>
      </w:pPr>
      <w:r>
        <w:t xml:space="preserve">(1) Die Geheimhaltungspflicht gilt zeitlich unbegrenzt, auch nach Ende des Vertrags.</w:t>
      </w:r>
    </w:p>
    <w:p>
      <w:pPr>
        <w:spacing w:after="120" w:line="276"/>
      </w:pPr>
      <w:r>
        <w:t xml:space="preserve">(2) Sie gilt nicht, soweit der Berechtigte eingewilligt hat, eine schriftliche Bewilligung der vorgesetzten Behörde oder Aufsichtsbehörde vorliegt (Art. 320 Ziff. 2, Art. 321 Ziff. 2 StGB) oder basebox nach Ziffer 7 zur Offenlegung verpflichtet ist.</w:t>
      </w:r>
    </w:p>
    <w:p>
      <w:pPr>
        <w:pStyle w:val="Heading1"/>
      </w:pPr>
      <w:r>
        <w:t xml:space="preserve">9. Verhältnis zu anderen Dokumenten</w:t>
      </w:r>
    </w:p>
    <w:p>
      <w:pPr>
        <w:spacing w:after="120" w:line="276"/>
      </w:pPr>
      <w:r>
        <w:t xml:space="preserve">(1) Diese Anlage ergänzt die Pflichten zur Vertraulichkeit aus Ziffer 7.2 AVV. Bei Widersprüchen geht die strengere Pflicht zum Schutz der Geheimnisse vor.</w:t>
      </w:r>
    </w:p>
    <w:p>
      <w:pPr>
        <w:spacing w:after="120" w:line="276"/>
      </w:pPr>
      <w:r>
        <w:t xml:space="preserve">(2) Es gilt das im Hauptvertrag vereinbarte Recht. Die Strafvorschriften des Schweizer Rechts bleiben unberührt.</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6B665C"/>
        <w:sz w:val="15"/>
        <w:szCs w:val="15"/>
      </w:rPr>
      <w:t xml:space="preserve">basebox GmbH · Bahnhofplatz 3 · 86919 Utting am Ammersee · datenschutz@basebox.ai · basebox.ai · Version 11.10.2026</w:t>
    </w:r>
    <w:r>
      <w:rPr>
        <w:color w:val="6B665C"/>
        <w:sz w:val="15"/>
        <w:szCs w:val="15"/>
      </w:rPr>
      <w:t xml:space="preserve">	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0"/>
      <w:jc w:val="right"/>
    </w:pPr>
    <w:r>
      <w:drawing>
        <wp:inline distT="0" distB="0" distL="0" distR="0">
          <wp:extent cx="1123950" cy="209550"/>
          <wp:effectExtent t="0" r="0" b="0" l="0"/>
          <wp:docPr id="1" name="basebox" descr="Logo basebox" title="base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2095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D1E1C"/>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pPr>
      <w:spacing w:after="120"/>
    </w:pPr>
    <w:rPr>
      <w:b/>
      <w:bCs/>
      <w:color w:val="1D1E1C"/>
      <w:sz w:val="36"/>
      <w:szCs w:val="36"/>
      <w:rFonts w:ascii="Cambria" w:cs="Cambria" w:eastAsia="Cambria" w:hAnsi="Cambria"/>
    </w:rPr>
  </w:style>
  <w:style w:type="paragraph" w:styleId="Heading1">
    <w:name w:val="Heading 1"/>
    <w:basedOn w:val="Normal"/>
    <w:next w:val="Normal"/>
    <w:qFormat/>
    <w:pPr>
      <w:keepNext/>
      <w:keepLines/>
      <w:spacing w:before="300" w:after="120"/>
      <w:outlineLvl w:val="0"/>
    </w:pPr>
    <w:rPr>
      <w:b/>
      <w:bCs/>
      <w:color w:val="1D1E1C"/>
      <w:sz w:val="26"/>
      <w:szCs w:val="26"/>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229d0ae2139e9c6086b51706f0328c898c63ea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Vereinbarung zur Geheimhaltung nach Art. 321 und Art. 320 StGB (Schweiz)</dc:title>
  <dc:creator>basebox GmbH</dc:creator>
  <dc:description>Anlage: Vereinbarung zur Geheimhaltung nach Art. 321 und Art. 320 StGB (Schweiz), Version 11.10.2026</dc:description>
  <cp:lastModifiedBy>Un-named</cp:lastModifiedBy>
  <cp:revision>1</cp:revision>
  <dcterms:created xsi:type="dcterms:W3CDTF">2026-10-11T09:38:22.082Z</dcterms:created>
  <dcterms:modified xsi:type="dcterms:W3CDTF">2026-10-11T09:38:22.082Z</dcterms:modified>
</cp:coreProperties>
</file>

<file path=docProps/custom.xml><?xml version="1.0" encoding="utf-8"?>
<Properties xmlns="http://schemas.openxmlformats.org/officeDocument/2006/custom-properties" xmlns:vt="http://schemas.openxmlformats.org/officeDocument/2006/docPropsVTypes"/>
</file>